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pStyle w:val="6"/>
        <w:rPr>
          <w:rFonts w:ascii="宋体" w:hAnsi="宋体"/>
          <w:bCs/>
          <w:color w:val="000000" w:themeColor="text1"/>
          <w:sz w:val="48"/>
          <w14:textFill>
            <w14:solidFill>
              <w14:schemeClr w14:val="tx1"/>
            </w14:solidFill>
          </w14:textFill>
        </w:rPr>
      </w:pPr>
    </w:p>
    <w:p>
      <w:pPr>
        <w:pStyle w:val="6"/>
        <w:rPr>
          <w:rFonts w:ascii="宋体" w:hAnsi="宋体"/>
          <w:bCs/>
          <w:color w:val="000000" w:themeColor="text1"/>
          <w:sz w:val="48"/>
          <w14:textFill>
            <w14:solidFill>
              <w14:schemeClr w14:val="tx1"/>
            </w14:solidFill>
          </w14:textFill>
        </w:rPr>
      </w:pPr>
    </w:p>
    <w:p>
      <w:pPr>
        <w:spacing w:line="360" w:lineRule="auto"/>
        <w:ind w:firstLine="361" w:firstLineChars="100"/>
        <w:jc w:val="center"/>
        <w:rPr>
          <w:rFonts w:hint="default" w:ascii="宋体" w:hAnsi="宋体" w:eastAsia="仿宋_GB2312"/>
          <w:b/>
          <w:bCs/>
          <w:color w:val="000000" w:themeColor="text1"/>
          <w:kern w:val="0"/>
          <w:sz w:val="40"/>
          <w:szCs w:val="36"/>
          <w:lang w:val="en-US" w:eastAsia="zh-CN"/>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36"/>
          <w:szCs w:val="32"/>
          <w:lang w:val="en-US" w:eastAsia="zh-CN"/>
          <w14:textFill>
            <w14:solidFill>
              <w14:schemeClr w14:val="tx1"/>
            </w14:solidFill>
          </w14:textFill>
        </w:rPr>
        <w:t>公环中心马尼拉草块一批</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pStyle w:val="6"/>
      </w:pPr>
    </w:p>
    <w:p>
      <w:pPr>
        <w:spacing w:line="360" w:lineRule="auto"/>
        <w:jc w:val="center"/>
        <w:rPr>
          <w:rFonts w:hint="default"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w:t>
      </w:r>
      <w:r>
        <w:rPr>
          <w:rFonts w:hint="eastAsia" w:ascii="宋体" w:hAnsi="宋体"/>
          <w:b/>
          <w:bCs/>
          <w:color w:val="000000" w:themeColor="text1"/>
          <w:kern w:val="0"/>
          <w:sz w:val="32"/>
          <w:szCs w:val="30"/>
          <w:lang w:eastAsia="zh-CN"/>
          <w14:textFill>
            <w14:solidFill>
              <w14:schemeClr w14:val="tx1"/>
            </w14:solidFill>
          </w14:textFill>
        </w:rPr>
        <w:t>202</w:t>
      </w:r>
      <w:r>
        <w:rPr>
          <w:rFonts w:hint="eastAsia" w:ascii="宋体" w:hAnsi="宋体"/>
          <w:b/>
          <w:bCs/>
          <w:color w:val="000000" w:themeColor="text1"/>
          <w:kern w:val="0"/>
          <w:sz w:val="32"/>
          <w:szCs w:val="30"/>
          <w:lang w:val="en-US" w:eastAsia="zh-CN"/>
          <w14:textFill>
            <w14:solidFill>
              <w14:schemeClr w14:val="tx1"/>
            </w14:solidFill>
          </w14:textFill>
        </w:rPr>
        <w:t>2</w:t>
      </w:r>
      <w:r>
        <w:rPr>
          <w:rFonts w:hint="eastAsia" w:ascii="宋体" w:hAnsi="宋体"/>
          <w:b/>
          <w:bCs/>
          <w:color w:val="000000" w:themeColor="text1"/>
          <w:kern w:val="0"/>
          <w:sz w:val="32"/>
          <w:szCs w:val="30"/>
          <w14:textFill>
            <w14:solidFill>
              <w14:schemeClr w14:val="tx1"/>
            </w14:solidFill>
          </w14:textFill>
        </w:rPr>
        <w:t>-</w:t>
      </w:r>
      <w:r>
        <w:rPr>
          <w:rFonts w:hint="eastAsia" w:ascii="宋体" w:hAnsi="宋体"/>
          <w:b/>
          <w:bCs/>
          <w:color w:val="000000" w:themeColor="text1"/>
          <w:kern w:val="0"/>
          <w:sz w:val="32"/>
          <w:szCs w:val="30"/>
          <w:lang w:val="en-US" w:eastAsia="zh-CN"/>
          <w14:textFill>
            <w14:solidFill>
              <w14:schemeClr w14:val="tx1"/>
            </w14:solidFill>
          </w14:textFill>
        </w:rPr>
        <w:t>A-007</w:t>
      </w:r>
    </w:p>
    <w:p>
      <w:pPr>
        <w:pStyle w:val="6"/>
        <w:rPr>
          <w:rFonts w:ascii="宋体" w:hAnsi="宋体"/>
          <w:b/>
          <w:bCs/>
          <w:color w:val="000000" w:themeColor="text1"/>
          <w:kern w:val="0"/>
          <w:sz w:val="32"/>
          <w:szCs w:val="30"/>
          <w14:textFill>
            <w14:solidFill>
              <w14:schemeClr w14:val="tx1"/>
            </w14:solidFill>
          </w14:textFill>
        </w:rPr>
      </w:pPr>
    </w:p>
    <w:p>
      <w:pPr>
        <w:pStyle w:val="6"/>
        <w:rPr>
          <w:rFonts w:ascii="宋体" w:hAnsi="宋体"/>
          <w:b/>
          <w:bCs/>
          <w:color w:val="000000" w:themeColor="text1"/>
          <w:kern w:val="0"/>
          <w:sz w:val="32"/>
          <w:szCs w:val="30"/>
          <w14:textFill>
            <w14:solidFill>
              <w14:schemeClr w14:val="tx1"/>
            </w14:solidFill>
          </w14:textFill>
        </w:rPr>
      </w:pPr>
    </w:p>
    <w:p>
      <w:pPr>
        <w:pStyle w:val="6"/>
        <w:rPr>
          <w:rFonts w:ascii="宋体" w:hAnsi="宋体"/>
          <w:b/>
          <w:bCs/>
          <w:color w:val="000000" w:themeColor="text1"/>
          <w:kern w:val="0"/>
          <w:sz w:val="32"/>
          <w:szCs w:val="30"/>
          <w14:textFill>
            <w14:solidFill>
              <w14:schemeClr w14:val="tx1"/>
            </w14:solidFill>
          </w14:textFill>
        </w:rPr>
      </w:pPr>
    </w:p>
    <w:p>
      <w:pPr>
        <w:spacing w:line="360" w:lineRule="auto"/>
        <w:ind w:firstLine="3213" w:firstLineChars="1000"/>
        <w:jc w:val="both"/>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11"/>
        <w:ind w:left="0" w:leftChars="0" w:firstLine="3313" w:firstLineChars="1100"/>
        <w:jc w:val="both"/>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w:t>
      </w:r>
      <w:r>
        <w:rPr>
          <w:rFonts w:hint="eastAsia" w:ascii="宋体" w:hAnsi="宋体" w:eastAsia="宋体"/>
          <w:color w:val="000000" w:themeColor="text1"/>
          <w:kern w:val="0"/>
          <w:sz w:val="30"/>
          <w:szCs w:val="30"/>
          <w:lang w:val="en-US" w:eastAsia="zh-CN"/>
          <w14:textFill>
            <w14:solidFill>
              <w14:schemeClr w14:val="tx1"/>
            </w14:solidFill>
          </w14:textFill>
        </w:rPr>
        <w:t>2</w:t>
      </w:r>
      <w:r>
        <w:rPr>
          <w:rFonts w:hint="eastAsia" w:ascii="宋体" w:hAnsi="宋体" w:eastAsia="宋体"/>
          <w:color w:val="000000" w:themeColor="text1"/>
          <w:kern w:val="0"/>
          <w:sz w:val="30"/>
          <w:szCs w:val="30"/>
          <w14:textFill>
            <w14:solidFill>
              <w14:schemeClr w14:val="tx1"/>
            </w14:solidFill>
          </w14:textFill>
        </w:rPr>
        <w:t xml:space="preserve">年 </w:t>
      </w:r>
      <w:r>
        <w:rPr>
          <w:rFonts w:hint="eastAsia" w:ascii="宋体" w:hAnsi="宋体" w:eastAsia="宋体"/>
          <w:color w:val="000000" w:themeColor="text1"/>
          <w:kern w:val="0"/>
          <w:sz w:val="30"/>
          <w:szCs w:val="30"/>
          <w:lang w:val="en-US" w:eastAsia="zh-CN"/>
          <w14:textFill>
            <w14:solidFill>
              <w14:schemeClr w14:val="tx1"/>
            </w14:solidFill>
          </w14:textFill>
        </w:rPr>
        <w:t>10</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24</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spacing w:line="360" w:lineRule="auto"/>
        <w:jc w:val="center"/>
        <w:rPr>
          <w:rFonts w:hint="eastAsia"/>
          <w:b/>
          <w:bCs/>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第一章投标邀请</w:t>
      </w:r>
    </w:p>
    <w:p>
      <w:pPr>
        <w:numPr>
          <w:ilvl w:val="0"/>
          <w:numId w:val="0"/>
        </w:numPr>
        <w:spacing w:line="360" w:lineRule="auto"/>
        <w:ind w:leftChars="0" w:firstLine="560" w:firstLineChars="200"/>
        <w:rPr>
          <w:rFonts w:hint="eastAsia" w:ascii="Times New Roman" w:hAnsi="Times New Roman" w:cs="宋体"/>
          <w:color w:val="000000" w:themeColor="text1"/>
          <w:sz w:val="28"/>
          <w:szCs w:val="28"/>
          <w:lang w:val="en-US" w:eastAsia="zh-CN"/>
          <w14:textFill>
            <w14:solidFill>
              <w14:schemeClr w14:val="tx1"/>
            </w14:solidFill>
          </w14:textFill>
        </w:rPr>
      </w:pPr>
      <w:r>
        <w:rPr>
          <w:rFonts w:hint="eastAsia" w:ascii="Times New Roman" w:hAnsi="Times New Roman" w:cs="宋体"/>
          <w:color w:val="000000" w:themeColor="text1"/>
          <w:sz w:val="28"/>
          <w:szCs w:val="28"/>
          <w:lang w:val="en-US" w:eastAsia="zh-CN"/>
          <w14:textFill>
            <w14:solidFill>
              <w14:schemeClr w14:val="tx1"/>
            </w14:solidFill>
          </w14:textFill>
        </w:rPr>
        <w:t>厦门大学后勤集团拟对</w:t>
      </w:r>
      <w:r>
        <w:rPr>
          <w:rFonts w:hint="eastAsia" w:cs="宋体"/>
          <w:color w:val="000000" w:themeColor="text1"/>
          <w:sz w:val="28"/>
          <w:szCs w:val="28"/>
          <w:lang w:val="en-US" w:eastAsia="zh-CN"/>
          <w14:textFill>
            <w14:solidFill>
              <w14:schemeClr w14:val="tx1"/>
            </w14:solidFill>
          </w14:textFill>
        </w:rPr>
        <w:t>公环中心马尼拉草块</w:t>
      </w:r>
      <w:r>
        <w:rPr>
          <w:rFonts w:hint="eastAsia" w:ascii="Times New Roman" w:hAnsi="Times New Roman" w:cs="宋体"/>
          <w:color w:val="000000" w:themeColor="text1"/>
          <w:sz w:val="28"/>
          <w:szCs w:val="28"/>
          <w:lang w:val="en-US" w:eastAsia="zh-CN"/>
          <w14:textFill>
            <w14:solidFill>
              <w14:schemeClr w14:val="tx1"/>
            </w14:solidFill>
          </w14:textFill>
        </w:rPr>
        <w:t>采购项目进行公开采购，欢迎具备相应资格条件的供应商参加投标。</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w:t>
      </w:r>
      <w:r>
        <w:rPr>
          <w:rFonts w:hint="eastAsia" w:cs="宋体"/>
          <w:color w:val="000000" w:themeColor="text1"/>
          <w:sz w:val="28"/>
          <w:szCs w:val="28"/>
          <w:lang w:eastAsia="zh-CN"/>
          <w14:textFill>
            <w14:solidFill>
              <w14:schemeClr w14:val="tx1"/>
            </w14:solidFill>
          </w14:textFill>
        </w:rPr>
        <w:t>202</w:t>
      </w:r>
      <w:r>
        <w:rPr>
          <w:rFonts w:hint="eastAsia" w:cs="宋体"/>
          <w:color w:val="000000" w:themeColor="text1"/>
          <w:sz w:val="28"/>
          <w:szCs w:val="28"/>
          <w:lang w:val="en-US" w:eastAsia="zh-CN"/>
          <w14:textFill>
            <w14:solidFill>
              <w14:schemeClr w14:val="tx1"/>
            </w14:solidFill>
          </w14:textFill>
        </w:rPr>
        <w:t>2</w:t>
      </w:r>
      <w:r>
        <w:rPr>
          <w:rFonts w:hint="eastAsia" w:cs="宋体"/>
          <w:color w:val="000000" w:themeColor="text1"/>
          <w:sz w:val="28"/>
          <w:szCs w:val="28"/>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A-007</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w:t>
      </w:r>
      <w:r>
        <w:rPr>
          <w:rFonts w:hint="eastAsia" w:cs="宋体"/>
          <w:color w:val="000000" w:themeColor="text1"/>
          <w:sz w:val="28"/>
          <w:szCs w:val="28"/>
          <w:lang w:val="en-US" w:eastAsia="zh-CN"/>
          <w14:textFill>
            <w14:solidFill>
              <w14:schemeClr w14:val="tx1"/>
            </w14:solidFill>
          </w14:textFill>
        </w:rPr>
        <w:t>马尼拉草块一批</w:t>
      </w:r>
    </w:p>
    <w:p>
      <w:pPr>
        <w:numPr>
          <w:ilvl w:val="0"/>
          <w:numId w:val="1"/>
        </w:numPr>
        <w:spacing w:line="360" w:lineRule="auto"/>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w:t>
      </w:r>
      <w:r>
        <w:rPr>
          <w:rFonts w:hint="eastAsia" w:cs="宋体"/>
          <w:color w:val="000000" w:themeColor="text1"/>
          <w:sz w:val="28"/>
          <w:szCs w:val="28"/>
          <w:lang w:val="en-US" w:eastAsia="zh-CN"/>
          <w14:textFill>
            <w14:solidFill>
              <w14:schemeClr w14:val="tx1"/>
            </w14:solidFill>
          </w14:textFill>
        </w:rPr>
        <w:t>：厦门大学翔安校区</w:t>
      </w:r>
    </w:p>
    <w:p>
      <w:pPr>
        <w:pStyle w:val="7"/>
        <w:numPr>
          <w:ilvl w:val="0"/>
          <w:numId w:val="1"/>
        </w:numPr>
        <w:spacing w:line="360" w:lineRule="auto"/>
        <w:ind w:left="420" w:leftChars="0" w:hanging="420" w:firstLineChars="0"/>
        <w:rPr>
          <w:rFonts w:hint="default" w:cs="宋体"/>
          <w:color w:val="000000" w:themeColor="text1"/>
          <w:sz w:val="28"/>
          <w:szCs w:val="28"/>
          <w:lang w:val="en-US"/>
          <w14:textFill>
            <w14:solidFill>
              <w14:schemeClr w14:val="tx1"/>
            </w14:solidFill>
          </w14:textFill>
        </w:rPr>
      </w:pPr>
      <w:r>
        <w:rPr>
          <w:rFonts w:hint="eastAsia" w:ascii="Times New Roman" w:hAnsi="Times New Roman" w:eastAsia="仿宋_GB2312" w:cs="宋体"/>
          <w:color w:val="000000" w:themeColor="text1"/>
          <w:kern w:val="2"/>
          <w:sz w:val="28"/>
          <w:szCs w:val="28"/>
          <w:highlight w:val="none"/>
          <w:lang w:val="en-US" w:eastAsia="zh-CN" w:bidi="ar-SA"/>
          <w14:textFill>
            <w14:solidFill>
              <w14:schemeClr w14:val="tx1"/>
            </w14:solidFill>
          </w14:textFill>
        </w:rPr>
        <w:t>供货期：</w:t>
      </w:r>
      <w:r>
        <w:rPr>
          <w:rFonts w:hint="eastAsia" w:ascii="Times New Roman" w:hAnsi="Times New Roman" w:cs="宋体"/>
          <w:color w:val="000000" w:themeColor="text1"/>
          <w:kern w:val="2"/>
          <w:sz w:val="28"/>
          <w:szCs w:val="28"/>
          <w:lang w:val="en-US" w:eastAsia="zh-CN" w:bidi="ar-SA"/>
          <w14:textFill>
            <w14:solidFill>
              <w14:schemeClr w14:val="tx1"/>
            </w14:solidFill>
          </w14:textFill>
        </w:rPr>
        <w:t>接到中标通知后1个月内完成供货</w:t>
      </w:r>
    </w:p>
    <w:p>
      <w:pPr>
        <w:pStyle w:val="7"/>
        <w:numPr>
          <w:ilvl w:val="0"/>
          <w:numId w:val="1"/>
        </w:numPr>
        <w:spacing w:line="360" w:lineRule="auto"/>
        <w:ind w:left="420" w:leftChars="0" w:hanging="420" w:firstLineChars="0"/>
        <w:rPr>
          <w:rFonts w:hint="default" w:cs="宋体"/>
          <w:color w:val="000000" w:themeColor="text1"/>
          <w:sz w:val="28"/>
          <w:szCs w:val="28"/>
          <w:lang w:val="en-US"/>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报名</w:t>
      </w:r>
      <w:r>
        <w:rPr>
          <w:rFonts w:hint="eastAsia" w:cs="宋体"/>
          <w:color w:val="000000" w:themeColor="text1"/>
          <w:sz w:val="28"/>
          <w:szCs w:val="28"/>
          <w:highlight w:val="none"/>
          <w:lang w:eastAsia="zh-CN"/>
          <w14:textFill>
            <w14:solidFill>
              <w14:schemeClr w14:val="tx1"/>
            </w14:solidFill>
          </w14:textFill>
        </w:rPr>
        <w:t>与投标截止时间</w:t>
      </w:r>
      <w:r>
        <w:rPr>
          <w:rFonts w:hint="eastAsia" w:cs="宋体"/>
          <w:color w:val="000000" w:themeColor="text1"/>
          <w:sz w:val="28"/>
          <w:szCs w:val="28"/>
          <w:highlight w:val="none"/>
          <w14:textFill>
            <w14:solidFill>
              <w14:schemeClr w14:val="tx1"/>
            </w14:solidFill>
          </w14:textFill>
        </w:rPr>
        <w:t>：</w:t>
      </w:r>
      <w:r>
        <w:rPr>
          <w:rFonts w:hint="eastAsia" w:cs="宋体"/>
          <w:color w:val="000000" w:themeColor="text1"/>
          <w:sz w:val="28"/>
          <w:szCs w:val="28"/>
          <w:highlight w:val="none"/>
          <w:lang w:eastAsia="zh-CN"/>
          <w14:textFill>
            <w14:solidFill>
              <w14:schemeClr w14:val="tx1"/>
            </w14:solidFill>
          </w14:textFill>
        </w:rPr>
        <w:t>请于202</w:t>
      </w:r>
      <w:r>
        <w:rPr>
          <w:rFonts w:hint="eastAsia" w:cs="宋体"/>
          <w:color w:val="000000" w:themeColor="text1"/>
          <w:sz w:val="28"/>
          <w:szCs w:val="28"/>
          <w:highlight w:val="none"/>
          <w:lang w:val="en-US" w:eastAsia="zh-CN"/>
          <w14:textFill>
            <w14:solidFill>
              <w14:schemeClr w14:val="tx1"/>
            </w14:solidFill>
          </w14:textFill>
        </w:rPr>
        <w:t>2</w:t>
      </w:r>
      <w:r>
        <w:rPr>
          <w:rFonts w:hint="eastAsia" w:cs="宋体"/>
          <w:color w:val="000000" w:themeColor="text1"/>
          <w:sz w:val="28"/>
          <w:szCs w:val="28"/>
          <w:highlight w:val="none"/>
          <w14:textFill>
            <w14:solidFill>
              <w14:schemeClr w14:val="tx1"/>
            </w14:solidFill>
          </w14:textFill>
        </w:rPr>
        <w:t>年</w:t>
      </w:r>
      <w:r>
        <w:rPr>
          <w:rFonts w:hint="eastAsia" w:cs="宋体"/>
          <w:color w:val="000000" w:themeColor="text1"/>
          <w:sz w:val="28"/>
          <w:szCs w:val="28"/>
          <w:highlight w:val="none"/>
          <w:lang w:val="en-US" w:eastAsia="zh-CN"/>
          <w14:textFill>
            <w14:solidFill>
              <w14:schemeClr w14:val="tx1"/>
            </w14:solidFill>
          </w14:textFill>
        </w:rPr>
        <w:t>10</w:t>
      </w:r>
      <w:r>
        <w:rPr>
          <w:rFonts w:hint="eastAsia" w:cs="宋体"/>
          <w:color w:val="000000" w:themeColor="text1"/>
          <w:sz w:val="28"/>
          <w:szCs w:val="28"/>
          <w:highlight w:val="none"/>
          <w14:textFill>
            <w14:solidFill>
              <w14:schemeClr w14:val="tx1"/>
            </w14:solidFill>
          </w14:textFill>
        </w:rPr>
        <w:t>月</w:t>
      </w:r>
      <w:r>
        <w:rPr>
          <w:rFonts w:hint="eastAsia" w:cs="宋体"/>
          <w:color w:val="000000" w:themeColor="text1"/>
          <w:sz w:val="28"/>
          <w:szCs w:val="28"/>
          <w:highlight w:val="none"/>
          <w:lang w:val="en-US" w:eastAsia="zh-CN"/>
          <w14:textFill>
            <w14:solidFill>
              <w14:schemeClr w14:val="tx1"/>
            </w14:solidFill>
          </w14:textFill>
        </w:rPr>
        <w:t>28</w:t>
      </w:r>
      <w:r>
        <w:rPr>
          <w:rFonts w:hint="eastAsia" w:cs="宋体"/>
          <w:color w:val="000000" w:themeColor="text1"/>
          <w:sz w:val="28"/>
          <w:szCs w:val="28"/>
          <w:highlight w:val="none"/>
          <w14:textFill>
            <w14:solidFill>
              <w14:schemeClr w14:val="tx1"/>
            </w14:solidFill>
          </w14:textFill>
        </w:rPr>
        <w:t>日</w:t>
      </w:r>
      <w:r>
        <w:rPr>
          <w:rFonts w:hint="eastAsia" w:cs="宋体"/>
          <w:color w:val="000000" w:themeColor="text1"/>
          <w:sz w:val="28"/>
          <w:szCs w:val="28"/>
          <w:highlight w:val="none"/>
          <w:lang w:val="en-US" w:eastAsia="zh-CN"/>
          <w14:textFill>
            <w14:solidFill>
              <w14:schemeClr w14:val="tx1"/>
            </w14:solidFill>
          </w14:textFill>
        </w:rPr>
        <w:t>17</w:t>
      </w:r>
      <w:r>
        <w:rPr>
          <w:rFonts w:hint="eastAsia" w:cs="宋体"/>
          <w:color w:val="000000" w:themeColor="text1"/>
          <w:sz w:val="28"/>
          <w:szCs w:val="28"/>
          <w:highlight w:val="none"/>
          <w14:textFill>
            <w14:solidFill>
              <w14:schemeClr w14:val="tx1"/>
            </w14:solidFill>
          </w14:textFill>
        </w:rPr>
        <w:t>:</w:t>
      </w:r>
      <w:r>
        <w:rPr>
          <w:rFonts w:hint="eastAsia" w:cs="宋体"/>
          <w:color w:val="000000" w:themeColor="text1"/>
          <w:sz w:val="28"/>
          <w:szCs w:val="28"/>
          <w:highlight w:val="none"/>
          <w:lang w:val="en-US" w:eastAsia="zh-CN"/>
          <w14:textFill>
            <w14:solidFill>
              <w14:schemeClr w14:val="tx1"/>
            </w14:solidFill>
          </w14:textFill>
        </w:rPr>
        <w:t>0</w:t>
      </w:r>
      <w:r>
        <w:rPr>
          <w:rFonts w:hint="eastAsia" w:cs="宋体"/>
          <w:color w:val="000000" w:themeColor="text1"/>
          <w:sz w:val="28"/>
          <w:szCs w:val="28"/>
          <w:highlight w:val="none"/>
          <w14:textFill>
            <w14:solidFill>
              <w14:schemeClr w14:val="tx1"/>
            </w14:solidFill>
          </w14:textFill>
        </w:rPr>
        <w:t>0</w:t>
      </w:r>
      <w:r>
        <w:rPr>
          <w:rFonts w:hint="eastAsia" w:cs="宋体"/>
          <w:color w:val="000000" w:themeColor="text1"/>
          <w:sz w:val="28"/>
          <w:szCs w:val="28"/>
          <w:highlight w:val="none"/>
          <w:lang w:eastAsia="zh-CN"/>
          <w14:textFill>
            <w14:solidFill>
              <w14:schemeClr w14:val="tx1"/>
            </w14:solidFill>
          </w14:textFill>
        </w:rPr>
        <w:t>前</w:t>
      </w:r>
      <w:r>
        <w:rPr>
          <w:rFonts w:hint="eastAsia" w:cs="宋体"/>
          <w:color w:val="000000" w:themeColor="text1"/>
          <w:sz w:val="28"/>
          <w:szCs w:val="28"/>
          <w:highlight w:val="none"/>
          <w14:textFill>
            <w14:solidFill>
              <w14:schemeClr w14:val="tx1"/>
            </w14:solidFill>
          </w14:textFill>
        </w:rPr>
        <w:t>（北京时间）（节假日除外）以邮件方式提交投标报名函及营业执照复印件（加盖公章）进行报名</w:t>
      </w:r>
      <w:r>
        <w:rPr>
          <w:rFonts w:hint="eastAsia" w:cs="宋体"/>
          <w:color w:val="000000" w:themeColor="text1"/>
          <w:sz w:val="28"/>
          <w:szCs w:val="28"/>
          <w:highlight w:val="none"/>
          <w:lang w:eastAsia="zh-CN"/>
          <w14:textFill>
            <w14:solidFill>
              <w14:schemeClr w14:val="tx1"/>
            </w14:solidFill>
          </w14:textFill>
        </w:rPr>
        <w:t>，并于</w:t>
      </w:r>
      <w:r>
        <w:rPr>
          <w:rFonts w:hint="eastAsia" w:cs="宋体"/>
          <w:color w:val="000000" w:themeColor="text1"/>
          <w:sz w:val="28"/>
          <w:szCs w:val="28"/>
          <w:highlight w:val="none"/>
          <w:lang w:val="en-US" w:eastAsia="zh-CN"/>
          <w14:textFill>
            <w14:solidFill>
              <w14:schemeClr w14:val="tx1"/>
            </w14:solidFill>
          </w14:textFill>
        </w:rPr>
        <w:t>2022年10月31日9:00前（北京时间）</w:t>
      </w:r>
      <w:r>
        <w:rPr>
          <w:rFonts w:hint="eastAsia" w:cs="宋体"/>
          <w:color w:val="000000" w:themeColor="text1"/>
          <w:sz w:val="28"/>
          <w:szCs w:val="28"/>
          <w:highlight w:val="none"/>
          <w:lang w:eastAsia="zh-CN"/>
          <w14:textFill>
            <w14:solidFill>
              <w14:schemeClr w14:val="tx1"/>
            </w14:solidFill>
          </w14:textFill>
        </w:rPr>
        <w:t>提交投标文件。</w:t>
      </w:r>
    </w:p>
    <w:p>
      <w:pPr>
        <w:numPr>
          <w:ilvl w:val="0"/>
          <w:numId w:val="1"/>
        </w:numPr>
        <w:spacing w:line="360" w:lineRule="auto"/>
        <w:ind w:left="420" w:leftChars="0" w:hanging="420" w:firstLineChars="0"/>
        <w:rPr>
          <w:rFonts w:hint="eastAsia"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开标地点：厦门大学</w:t>
      </w:r>
      <w:r>
        <w:rPr>
          <w:rFonts w:hint="eastAsia" w:cs="宋体"/>
          <w:color w:val="000000" w:themeColor="text1"/>
          <w:sz w:val="28"/>
          <w:szCs w:val="28"/>
          <w:highlight w:val="none"/>
          <w:lang w:val="en-US" w:eastAsia="zh-CN"/>
          <w14:textFill>
            <w14:solidFill>
              <w14:schemeClr w14:val="tx1"/>
            </w14:solidFill>
          </w14:textFill>
        </w:rPr>
        <w:t>公环中心</w:t>
      </w:r>
      <w:r>
        <w:rPr>
          <w:rFonts w:hint="eastAsia" w:cs="宋体"/>
          <w:color w:val="000000" w:themeColor="text1"/>
          <w:sz w:val="28"/>
          <w:szCs w:val="28"/>
          <w:highlight w:val="none"/>
          <w:lang w:eastAsia="zh-CN"/>
          <w14:textFill>
            <w14:solidFill>
              <w14:schemeClr w14:val="tx1"/>
            </w14:solidFill>
          </w14:textFill>
        </w:rPr>
        <w:t>会议室</w:t>
      </w:r>
    </w:p>
    <w:p>
      <w:pPr>
        <w:numPr>
          <w:ilvl w:val="0"/>
          <w:numId w:val="1"/>
        </w:numPr>
        <w:spacing w:line="360" w:lineRule="auto"/>
        <w:ind w:left="420" w:leftChars="0" w:hanging="420" w:firstLineChars="0"/>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预算控制价：</w:t>
      </w:r>
      <w:r>
        <w:rPr>
          <w:rFonts w:hint="eastAsia" w:cs="宋体"/>
          <w:color w:val="000000" w:themeColor="text1"/>
          <w:sz w:val="28"/>
          <w:szCs w:val="28"/>
          <w:highlight w:val="none"/>
          <w:lang w:val="en-US" w:eastAsia="zh-CN"/>
          <w14:textFill>
            <w14:solidFill>
              <w14:schemeClr w14:val="tx1"/>
            </w14:solidFill>
          </w14:textFill>
        </w:rPr>
        <w:t>12.98万元</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本批采购的咨询联系人</w:t>
      </w:r>
    </w:p>
    <w:p>
      <w:pPr>
        <w:spacing w:line="360" w:lineRule="auto"/>
        <w:rPr>
          <w:rFonts w:hint="default" w:cs="宋体"/>
          <w:color w:val="000000" w:themeColor="text1"/>
          <w:kern w:val="0"/>
          <w:sz w:val="28"/>
          <w:lang w:val="en-US"/>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cs="宋体"/>
          <w:color w:val="000000" w:themeColor="text1"/>
          <w:sz w:val="28"/>
          <w:szCs w:val="28"/>
          <w:highlight w:val="none"/>
          <w:lang w:val="en-US" w:eastAsia="zh-CN"/>
          <w14:textFill>
            <w14:solidFill>
              <w14:schemeClr w14:val="tx1"/>
            </w14:solidFill>
          </w14:textFill>
        </w:rPr>
        <w:t>陈老师 15960226940</w:t>
      </w:r>
    </w:p>
    <w:p>
      <w:pPr>
        <w:pStyle w:val="6"/>
        <w:spacing w:line="360" w:lineRule="auto"/>
        <w:rPr>
          <w:rFonts w:hint="default" w:ascii="Calibri" w:hAnsi="Calibri" w:cs="宋体"/>
          <w:color w:val="000000" w:themeColor="text1"/>
          <w:kern w:val="0"/>
          <w:sz w:val="28"/>
          <w:szCs w:val="24"/>
          <w:highlight w:val="none"/>
          <w:lang w:val="en-US"/>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cs="宋体"/>
          <w:color w:val="000000" w:themeColor="text1"/>
          <w:kern w:val="0"/>
          <w:sz w:val="28"/>
          <w:szCs w:val="24"/>
          <w:highlight w:val="none"/>
          <w:lang w:val="en-US" w:eastAsia="zh-CN"/>
          <w14:textFill>
            <w14:solidFill>
              <w14:schemeClr w14:val="tx1"/>
            </w14:solidFill>
          </w14:textFill>
        </w:rPr>
        <w:t>：dengjin@xmu.edu.cn</w:t>
      </w:r>
    </w:p>
    <w:p>
      <w:pPr>
        <w:spacing w:line="360" w:lineRule="auto"/>
        <w:ind w:firstLine="3360" w:firstLineChars="1200"/>
        <w:rPr>
          <w:rFonts w:hint="eastAsia"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 xml:space="preserve">监督电话：邓老师  </w:t>
      </w:r>
      <w:r>
        <w:rPr>
          <w:rFonts w:hint="eastAsia" w:cs="宋体"/>
          <w:color w:val="000000" w:themeColor="text1"/>
          <w:sz w:val="28"/>
          <w:szCs w:val="28"/>
          <w:highlight w:val="none"/>
          <w:lang w:val="en-US" w:eastAsia="zh-CN"/>
          <w14:textFill>
            <w14:solidFill>
              <w14:schemeClr w14:val="tx1"/>
            </w14:solidFill>
          </w14:textFill>
        </w:rPr>
        <w:t>2187648</w:t>
      </w:r>
    </w:p>
    <w:p>
      <w:pPr>
        <w:spacing w:line="540" w:lineRule="exact"/>
        <w:rPr>
          <w:rFonts w:cs="宋体"/>
          <w:color w:val="000000" w:themeColor="text1"/>
          <w:sz w:val="28"/>
          <w:szCs w:val="28"/>
          <w14:textFill>
            <w14:solidFill>
              <w14:schemeClr w14:val="tx1"/>
            </w14:solidFill>
          </w14:textFill>
        </w:rPr>
      </w:pPr>
    </w:p>
    <w:p>
      <w:pPr>
        <w:pStyle w:val="2"/>
      </w:pPr>
    </w:p>
    <w:p>
      <w:pPr>
        <w:spacing w:line="540" w:lineRule="exact"/>
        <w:ind w:firstLine="5880" w:firstLineChars="21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lang w:val="en-US" w:eastAsia="zh-CN"/>
          <w14:textFill>
            <w14:solidFill>
              <w14:schemeClr w14:val="tx1"/>
            </w14:solidFill>
          </w14:textFill>
        </w:rPr>
        <w:t xml:space="preserve">      </w:t>
      </w:r>
      <w:r>
        <w:rPr>
          <w:rFonts w:hint="eastAsia" w:cs="宋体"/>
          <w:color w:val="000000" w:themeColor="text1"/>
          <w:sz w:val="28"/>
          <w:szCs w:val="28"/>
          <w:lang w:eastAsia="zh-CN"/>
          <w14:textFill>
            <w14:solidFill>
              <w14:schemeClr w14:val="tx1"/>
            </w14:solidFill>
          </w14:textFill>
        </w:rPr>
        <w:t>202</w:t>
      </w:r>
      <w:r>
        <w:rPr>
          <w:rFonts w:hint="eastAsia" w:cs="宋体"/>
          <w:color w:val="000000" w:themeColor="text1"/>
          <w:sz w:val="28"/>
          <w:szCs w:val="28"/>
          <w:lang w:val="en-US" w:eastAsia="zh-CN"/>
          <w14:textFill>
            <w14:solidFill>
              <w14:schemeClr w14:val="tx1"/>
            </w14:solidFill>
          </w14:textFill>
        </w:rPr>
        <w:t>2</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24</w:t>
      </w:r>
      <w:r>
        <w:rPr>
          <w:rFonts w:hint="eastAsia" w:cs="宋体"/>
          <w:color w:val="000000" w:themeColor="text1"/>
          <w:sz w:val="28"/>
          <w:szCs w:val="28"/>
          <w14:textFill>
            <w14:solidFill>
              <w14:schemeClr w14:val="tx1"/>
            </w14:solidFill>
          </w14:textFill>
        </w:rPr>
        <w:t>日</w:t>
      </w:r>
    </w:p>
    <w:p>
      <w:pPr>
        <w:pStyle w:val="20"/>
        <w:ind w:left="0" w:leftChars="0" w:firstLine="2530" w:firstLineChars="700"/>
        <w:jc w:val="both"/>
        <w:rPr>
          <w:rFonts w:hint="eastAsia" w:ascii="仿宋_GB2312" w:hAnsi="仿宋_GB2312" w:eastAsia="仿宋_GB2312" w:cs="仿宋_GB2312"/>
          <w:b/>
          <w:bCs w:val="0"/>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val="0"/>
          <w:color w:val="000000" w:themeColor="text1"/>
          <w:sz w:val="36"/>
          <w:szCs w:val="36"/>
          <w:highlight w:val="none"/>
          <w14:textFill>
            <w14:solidFill>
              <w14:schemeClr w14:val="tx1"/>
            </w14:solidFill>
          </w14:textFill>
        </w:rPr>
        <w:t>第二章 投标前附表</w:t>
      </w:r>
    </w:p>
    <w:p>
      <w:pPr>
        <w:pStyle w:val="20"/>
        <w:ind w:left="1486" w:hanging="1486"/>
        <w:rPr>
          <w:rFonts w:hint="eastAsia" w:ascii="仿宋" w:hAnsi="仿宋" w:eastAsia="仿宋" w:cs="仿宋"/>
          <w:b w:val="0"/>
          <w:color w:val="000000" w:themeColor="text1"/>
          <w:sz w:val="32"/>
          <w:szCs w:val="32"/>
          <w:highlight w:val="none"/>
          <w14:textFill>
            <w14:solidFill>
              <w14:schemeClr w14:val="tx1"/>
            </w14:solidFill>
          </w14:textFill>
        </w:rPr>
      </w:pPr>
      <w:r>
        <w:rPr>
          <w:rFonts w:hint="eastAsia" w:ascii="仿宋" w:hAnsi="仿宋" w:eastAsia="仿宋" w:cs="仿宋"/>
          <w:b w:val="0"/>
          <w:color w:val="000000" w:themeColor="text1"/>
          <w:sz w:val="32"/>
          <w:szCs w:val="32"/>
          <w:highlight w:val="none"/>
          <w14:textFill>
            <w14:solidFill>
              <w14:schemeClr w14:val="tx1"/>
            </w14:solidFill>
          </w14:textFill>
        </w:rPr>
        <w:t>报价人须知前附表</w:t>
      </w:r>
    </w:p>
    <w:tbl>
      <w:tblPr>
        <w:tblStyle w:val="1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415"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内容</w:t>
            </w:r>
          </w:p>
        </w:tc>
        <w:tc>
          <w:tcPr>
            <w:tcW w:w="5774"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p>
        </w:tc>
        <w:tc>
          <w:tcPr>
            <w:tcW w:w="2415" w:type="dxa"/>
            <w:vAlign w:val="center"/>
          </w:tcPr>
          <w:p>
            <w:pPr>
              <w:pStyle w:val="21"/>
              <w:spacing w:beforeLines="50" w:afterLines="5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采购项目</w:t>
            </w:r>
          </w:p>
        </w:tc>
        <w:tc>
          <w:tcPr>
            <w:tcW w:w="5774" w:type="dxa"/>
            <w:vAlign w:val="center"/>
          </w:tcPr>
          <w:p>
            <w:pPr>
              <w:spacing w:line="360" w:lineRule="auto"/>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马尼拉草块一批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是否允许生产厂家以外的报价人投标</w:t>
            </w:r>
          </w:p>
        </w:tc>
        <w:tc>
          <w:tcPr>
            <w:tcW w:w="5774" w:type="dxa"/>
            <w:vAlign w:val="center"/>
          </w:tcPr>
          <w:p>
            <w:pPr>
              <w:pStyle w:val="22"/>
              <w:spacing w:beforeLines="50" w:afterLines="50"/>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代理商应提交资料</w:t>
            </w:r>
          </w:p>
        </w:tc>
        <w:tc>
          <w:tcPr>
            <w:tcW w:w="5774" w:type="dxa"/>
            <w:vAlign w:val="center"/>
          </w:tcPr>
          <w:p>
            <w:pPr>
              <w:pStyle w:val="22"/>
              <w:spacing w:beforeLines="50" w:afterLines="50"/>
              <w:ind w:left="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w:t>
            </w:r>
          </w:p>
        </w:tc>
        <w:tc>
          <w:tcPr>
            <w:tcW w:w="2415" w:type="dxa"/>
            <w:vAlign w:val="center"/>
          </w:tcPr>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是否允许联合体投标</w:t>
            </w:r>
          </w:p>
        </w:tc>
        <w:tc>
          <w:tcPr>
            <w:tcW w:w="5774" w:type="dxa"/>
            <w:vAlign w:val="center"/>
          </w:tcPr>
          <w:p>
            <w:pPr>
              <w:pStyle w:val="10"/>
              <w:spacing w:beforeLines="50" w:afterLine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w:t>
            </w:r>
          </w:p>
        </w:tc>
        <w:tc>
          <w:tcPr>
            <w:tcW w:w="2415" w:type="dxa"/>
            <w:vAlign w:val="center"/>
          </w:tcPr>
          <w:p>
            <w:pP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资格性要求</w:t>
            </w:r>
          </w:p>
        </w:tc>
        <w:tc>
          <w:tcPr>
            <w:tcW w:w="5774" w:type="dxa"/>
            <w:vAlign w:val="center"/>
          </w:tcPr>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1.★投标书；</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2.★法定代表人授权委托书；</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3.★营业执照副本复印件，并加盖报价人公章；</w:t>
            </w:r>
          </w:p>
          <w:p>
            <w:pPr>
              <w:pStyle w:val="10"/>
              <w:tabs>
                <w:tab w:val="left" w:pos="660"/>
              </w:tabs>
              <w:ind w:left="210" w:hanging="240" w:hangingChars="1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4.★参加政府采购活动前3年内（开业不足三年的，自开业以来）在经营活动中没有重大违法记录的书面声明；</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5.★廉政承诺书</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14:textFill>
                  <w14:solidFill>
                    <w14:schemeClr w14:val="tx1"/>
                  </w14:solidFill>
                </w14:textFill>
              </w:rPr>
              <w:t>★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pPr>
              <w:pStyle w:val="10"/>
              <w:tabs>
                <w:tab w:val="left" w:pos="660"/>
              </w:tabs>
              <w:ind w:left="210" w:hanging="240" w:hangingChars="100"/>
              <w:rPr>
                <w:rFonts w:hint="eastAsia" w:ascii="仿宋" w:hAnsi="仿宋" w:eastAsia="仿宋" w:cs="仿宋"/>
                <w:bCs/>
                <w:color w:val="000000" w:themeColor="text1"/>
                <w:sz w:val="24"/>
                <w:szCs w:val="24"/>
                <w:highlight w:val="none"/>
                <w14:textFill>
                  <w14:solidFill>
                    <w14:schemeClr w14:val="tx1"/>
                  </w14:solidFill>
                </w14:textFill>
              </w:rPr>
            </w:pP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报价人应提交的</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材料文件</w:t>
            </w:r>
          </w:p>
        </w:tc>
        <w:tc>
          <w:tcPr>
            <w:tcW w:w="5774" w:type="dxa"/>
            <w:vAlign w:val="center"/>
          </w:tcPr>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1.★开标一览表； </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2.投标货物数量、价格表；</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3.投标货物技术偏离表；</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4.技术方案；</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5.实施方案（含项目实施进度计划表）；</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6.验收方案；</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7.培训及售后服务方案；</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8.报价人服务项目偏离表； </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w:t>
            </w:r>
          </w:p>
        </w:tc>
        <w:tc>
          <w:tcPr>
            <w:tcW w:w="2415"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报价人自行编写的</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技术文件</w:t>
            </w:r>
          </w:p>
        </w:tc>
        <w:tc>
          <w:tcPr>
            <w:tcW w:w="5774" w:type="dxa"/>
            <w:vAlign w:val="center"/>
          </w:tcPr>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应包括但不仅限于以下内容：</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1）投标数量、说明；</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2）技术响应方案；</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3）技术参数应答；</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4）公开发行的投标产品彩页或产品技术参数说明；</w:t>
            </w:r>
          </w:p>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投标保证金</w:t>
            </w:r>
          </w:p>
        </w:tc>
        <w:tc>
          <w:tcPr>
            <w:tcW w:w="5774" w:type="dxa"/>
            <w:vAlign w:val="center"/>
          </w:tcPr>
          <w:p>
            <w:pPr>
              <w:pStyle w:val="10"/>
              <w:jc w:val="both"/>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w:t>
            </w:r>
          </w:p>
        </w:tc>
        <w:tc>
          <w:tcPr>
            <w:tcW w:w="2415" w:type="dxa"/>
            <w:vAlign w:val="center"/>
          </w:tcPr>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是否接受可选择或可调整的投标和报价</w:t>
            </w:r>
          </w:p>
        </w:tc>
        <w:tc>
          <w:tcPr>
            <w:tcW w:w="5774" w:type="dxa"/>
            <w:vAlign w:val="center"/>
          </w:tcPr>
          <w:p>
            <w:pPr>
              <w:pStyle w:val="22"/>
              <w:spacing w:beforeLines="50" w:afterLines="50"/>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w:t>
            </w:r>
          </w:p>
        </w:tc>
        <w:tc>
          <w:tcPr>
            <w:tcW w:w="2415"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现场踏勘</w:t>
            </w:r>
          </w:p>
        </w:tc>
        <w:tc>
          <w:tcPr>
            <w:tcW w:w="5774" w:type="dxa"/>
            <w:vAlign w:val="center"/>
          </w:tcPr>
          <w:p>
            <w:pPr>
              <w:pStyle w:val="10"/>
              <w:spacing w:beforeLines="50" w:afterLine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11</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报价文件有效期</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报价文件份数</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投标文件一式</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bCs/>
                <w:color w:val="000000" w:themeColor="text1"/>
                <w:sz w:val="24"/>
                <w:szCs w:val="24"/>
                <w14:textFill>
                  <w14:solidFill>
                    <w14:schemeClr w14:val="tx1"/>
                  </w14:solidFill>
                </w14:textFill>
              </w:rPr>
              <w:t>份（其中正本</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份，副本</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13</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集中看样时间</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14</w:t>
            </w:r>
          </w:p>
        </w:tc>
        <w:tc>
          <w:tcPr>
            <w:tcW w:w="2415" w:type="dxa"/>
            <w:vAlign w:val="center"/>
          </w:tcPr>
          <w:p>
            <w:pP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文件编制要求</w:t>
            </w:r>
          </w:p>
        </w:tc>
        <w:tc>
          <w:tcPr>
            <w:tcW w:w="5774" w:type="dxa"/>
            <w:vAlign w:val="center"/>
          </w:tcPr>
          <w:p>
            <w:pPr>
              <w:pStyle w:val="22"/>
              <w:spacing w:before="0" w:after="0" w:line="240" w:lineRule="auto"/>
              <w:ind w:lef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报价人在本项目中禁止使用“投标专用章”，必须使用报价人公章进行投标，报价文件的正、副本均须加盖公章骑缝章</w:t>
            </w:r>
            <w:r>
              <w:rPr>
                <w:rFonts w:hint="eastAsia" w:ascii="仿宋" w:hAnsi="仿宋" w:eastAsia="仿宋" w:cs="仿宋"/>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15</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其他要求</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详见采购文件要求</w:t>
            </w:r>
          </w:p>
        </w:tc>
      </w:tr>
    </w:tbl>
    <w:p>
      <w:pPr>
        <w:pStyle w:val="23"/>
        <w:widowControl/>
        <w:tabs>
          <w:tab w:val="clear" w:pos="840"/>
        </w:tabs>
        <w:snapToGrid w:val="0"/>
        <w:ind w:left="0" w:leftChars="0" w:firstLine="0" w:firstLineChars="0"/>
        <w:jc w:val="both"/>
        <w:rPr>
          <w:bCs/>
          <w:color w:val="000000" w:themeColor="text1"/>
          <w:sz w:val="28"/>
          <w:highlight w:val="none"/>
          <w14:textFill>
            <w14:solidFill>
              <w14:schemeClr w14:val="tx1"/>
            </w14:solidFill>
          </w14:textFill>
        </w:rPr>
      </w:pPr>
    </w:p>
    <w:p>
      <w:pPr>
        <w:pStyle w:val="23"/>
        <w:widowControl/>
        <w:tabs>
          <w:tab w:val="clear" w:pos="840"/>
        </w:tabs>
        <w:snapToGrid w:val="0"/>
        <w:ind w:left="417" w:hanging="417" w:hangingChars="149"/>
        <w:jc w:val="cente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应答索引表</w:t>
      </w:r>
    </w:p>
    <w:p>
      <w:pPr>
        <w:pStyle w:val="23"/>
        <w:widowControl/>
        <w:tabs>
          <w:tab w:val="clear" w:pos="840"/>
        </w:tabs>
        <w:snapToGrid w:val="0"/>
        <w:ind w:left="417" w:hanging="417" w:hangingChars="149"/>
        <w:jc w:val="cente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（报价人可根据响应要求完善）</w:t>
      </w:r>
    </w:p>
    <w:tbl>
      <w:tblPr>
        <w:tblStyle w:val="16"/>
        <w:tblW w:w="9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4297"/>
        <w:gridCol w:w="2070"/>
        <w:gridCol w:w="1950"/>
        <w:gridCol w:w="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297"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tc>
        <w:tc>
          <w:tcPr>
            <w:tcW w:w="2070"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报价人应答内容</w:t>
            </w:r>
          </w:p>
        </w:tc>
        <w:tc>
          <w:tcPr>
            <w:tcW w:w="1950" w:type="dxa"/>
            <w:vAlign w:val="center"/>
          </w:tcPr>
          <w:p>
            <w:pPr>
              <w:widowControl/>
              <w:snapToGrid w:val="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报价及资格证明部分中所在页码</w:t>
            </w:r>
          </w:p>
        </w:tc>
        <w:tc>
          <w:tcPr>
            <w:tcW w:w="471"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投标书</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开标一览表</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投标分项报价表</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法定代表人授权委托书</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营业执照、税务登记证、企业法人代码证书</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小型、微型企业产品价格扣除材料</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财务状况报告</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依法缴纳税收的相关证明材料；</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4297" w:type="dxa"/>
          </w:tcPr>
          <w:p>
            <w:pPr>
              <w:widowControl/>
              <w:tabs>
                <w:tab w:val="left" w:pos="1200"/>
                <w:tab w:val="left" w:pos="1620"/>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依法社会保险费的相关证明材料；</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在经营活动中没有重大违法记录的书面声明</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4297" w:type="dxa"/>
          </w:tcPr>
          <w:p>
            <w:pPr>
              <w:widowControl/>
              <w:tabs>
                <w:tab w:val="left" w:pos="1200"/>
                <w:tab w:val="left" w:pos="1620"/>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廉政承诺书</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4297" w:type="dxa"/>
          </w:tcPr>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经信用中国信息查询，报价人无失信信息记录或经中国政府采购网查询没有在被禁止参加政府采购活动处罚期内。</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4297"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保证金缴纳凭证</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4297"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资格要求特定条件证明文件</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4297"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联合体协议</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297"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tc>
        <w:tc>
          <w:tcPr>
            <w:tcW w:w="2070"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报价人应答内容</w:t>
            </w:r>
          </w:p>
        </w:tc>
        <w:tc>
          <w:tcPr>
            <w:tcW w:w="1950" w:type="dxa"/>
            <w:vAlign w:val="center"/>
          </w:tcPr>
          <w:p>
            <w:pPr>
              <w:widowControl/>
              <w:snapToGrid w:val="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技术及商务部分中所在页码</w:t>
            </w:r>
          </w:p>
        </w:tc>
        <w:tc>
          <w:tcPr>
            <w:tcW w:w="471"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4297"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现场勘察报告</w:t>
            </w:r>
          </w:p>
        </w:tc>
        <w:tc>
          <w:tcPr>
            <w:tcW w:w="2070"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付款方式描述</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交货时间承诺函</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投标货物技术规格说明书等技术文件</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投标货物技术规范偏离表，对采购设备技术规格要求逐条应答</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4297" w:type="dxa"/>
          </w:tcPr>
          <w:p>
            <w:pPr>
              <w:widowControl/>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制造厂商针对本项目投标的授权函原件；</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制造商出具的售后服务承诺书、服务标准和年限</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报价人评分自评表</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 w:hRule="atLeas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货物制造商在用户所在地区设有售后服务机构的相关证明</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用户所在地区常设服务机构</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格式自拟</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代理资质证明</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投标设备检测报告</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同类型规模项目成功案例合同1-N（参见评分标准中的说明和具体要求）</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报价人自行编写的技术文件</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投标货物配件、耗材、选件表和特殊工具及备件清单；</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投标货物售后培训、维修和服务计划表（货物技术支持和售后服务的程序、内容及措施）；</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设备生产厂家售后服务网点明细表</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培训方案</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服务项目偏离表</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w:t>
            </w:r>
          </w:p>
        </w:tc>
        <w:tc>
          <w:tcPr>
            <w:tcW w:w="4297"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售后服务提供方</w:t>
            </w:r>
          </w:p>
        </w:tc>
        <w:tc>
          <w:tcPr>
            <w:tcW w:w="2070"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p>
        </w:tc>
        <w:tc>
          <w:tcPr>
            <w:tcW w:w="4297" w:type="dxa"/>
            <w:tcBorders>
              <w:right w:val="single" w:color="auto" w:sz="4" w:space="0"/>
            </w:tcBorders>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是否完全满足采购文件要求的供货周期</w:t>
            </w:r>
          </w:p>
        </w:tc>
        <w:tc>
          <w:tcPr>
            <w:tcW w:w="207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Borders>
              <w:left w:val="single" w:color="auto" w:sz="4" w:space="0"/>
            </w:tcBorders>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w:t>
            </w:r>
          </w:p>
        </w:tc>
        <w:tc>
          <w:tcPr>
            <w:tcW w:w="4297" w:type="dxa"/>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为本项目提供的其他优惠服务</w:t>
            </w:r>
          </w:p>
        </w:tc>
        <w:tc>
          <w:tcPr>
            <w:tcW w:w="2070" w:type="dxa"/>
            <w:tcBorders>
              <w:top w:val="single" w:color="auto" w:sz="4" w:space="0"/>
            </w:tcBorders>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设备生产厂商提供全部服务、提供部分服务或售后服务全部由报价人（为代理商时）提供</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施工安装方案</w:t>
            </w:r>
          </w:p>
        </w:tc>
        <w:tc>
          <w:tcPr>
            <w:tcW w:w="2070" w:type="dxa"/>
            <w:tcBorders>
              <w:top w:val="single" w:color="auto" w:sz="4" w:space="0"/>
            </w:tcBorders>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是或否</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w:t>
            </w:r>
          </w:p>
        </w:tc>
        <w:tc>
          <w:tcPr>
            <w:tcW w:w="4297"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其他说明和资料</w:t>
            </w:r>
          </w:p>
        </w:tc>
        <w:tc>
          <w:tcPr>
            <w:tcW w:w="2070" w:type="dxa"/>
            <w:tcBorders>
              <w:top w:val="single" w:color="auto" w:sz="4" w:space="0"/>
            </w:tcBorders>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1950"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471"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bl>
    <w:p>
      <w:pPr>
        <w:rPr>
          <w:rFonts w:hint="eastAsia" w:ascii="仿宋_GB2312" w:hAnsi="仿宋_GB2312" w:eastAsia="仿宋_GB2312" w:cs="仿宋_GB2312"/>
          <w:b/>
          <w:bCs/>
          <w:color w:val="000000" w:themeColor="text1"/>
          <w:sz w:val="36"/>
          <w:szCs w:val="36"/>
          <w:highlight w:val="none"/>
          <w14:textFill>
            <w14:solidFill>
              <w14:schemeClr w14:val="tx1"/>
            </w14:solidFill>
          </w14:textFill>
        </w:rPr>
      </w:pPr>
    </w:p>
    <w:p>
      <w:pPr>
        <w:numPr>
          <w:ilvl w:val="0"/>
          <w:numId w:val="0"/>
        </w:numPr>
        <w:jc w:val="center"/>
        <w:rPr>
          <w:rFonts w:hint="eastAsia"/>
        </w:rPr>
      </w:pPr>
      <w:r>
        <w:rPr>
          <w:rFonts w:hint="eastAsia" w:ascii="仿宋_GB2312" w:hAnsi="仿宋_GB2312" w:cs="仿宋_GB2312"/>
          <w:b/>
          <w:bCs/>
          <w:color w:val="000000" w:themeColor="text1"/>
          <w:sz w:val="36"/>
          <w:szCs w:val="36"/>
          <w:highlight w:val="none"/>
          <w:lang w:val="en-US" w:eastAsia="zh-CN"/>
          <w14:textFill>
            <w14:solidFill>
              <w14:schemeClr w14:val="tx1"/>
            </w14:solidFill>
          </w14:textFill>
        </w:rPr>
        <w:t xml:space="preserve">第三章 </w:t>
      </w: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采购项目说明及</w:t>
      </w:r>
      <w:r>
        <w:rPr>
          <w:rFonts w:hint="eastAsia" w:ascii="仿宋_GB2312" w:hAnsi="仿宋_GB2312" w:cs="仿宋_GB2312"/>
          <w:b/>
          <w:bCs/>
          <w:color w:val="000000" w:themeColor="text1"/>
          <w:sz w:val="36"/>
          <w:szCs w:val="36"/>
          <w:highlight w:val="none"/>
          <w:lang w:val="en-US" w:eastAsia="zh-CN"/>
          <w14:textFill>
            <w14:solidFill>
              <w14:schemeClr w14:val="tx1"/>
            </w14:solidFill>
          </w14:textFill>
        </w:rPr>
        <w:t>要求</w:t>
      </w: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24"/>
        <w:numPr>
          <w:ilvl w:val="0"/>
          <w:numId w:val="2"/>
        </w:numPr>
        <w:spacing w:line="360" w:lineRule="auto"/>
        <w:ind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采购货物一览表</w:t>
      </w:r>
      <w:r>
        <w:rPr>
          <w:rFonts w:hint="eastAsia" w:ascii="宋体" w:hAnsi="宋体" w:eastAsia="宋体" w:cs="宋体"/>
          <w:b/>
          <w:bCs/>
          <w:color w:val="000000" w:themeColor="text1"/>
          <w:sz w:val="24"/>
          <w:szCs w:val="24"/>
          <w:highlight w:val="none"/>
          <w:lang w:eastAsia="zh-CN"/>
          <w14:textFill>
            <w14:solidFill>
              <w14:schemeClr w14:val="tx1"/>
            </w14:solidFill>
          </w14:textFill>
        </w:rPr>
        <w:t>与</w:t>
      </w:r>
      <w:r>
        <w:rPr>
          <w:rFonts w:hint="eastAsia" w:ascii="宋体" w:hAnsi="宋体" w:eastAsia="宋体" w:cs="宋体"/>
          <w:b/>
          <w:bCs/>
          <w:color w:val="000000" w:themeColor="text1"/>
          <w:sz w:val="24"/>
          <w:szCs w:val="24"/>
          <w:highlight w:val="none"/>
          <w14:textFill>
            <w14:solidFill>
              <w14:schemeClr w14:val="tx1"/>
            </w14:solidFill>
          </w14:textFill>
        </w:rPr>
        <w:t>主要技术参数</w:t>
      </w:r>
    </w:p>
    <w:tbl>
      <w:tblPr>
        <w:tblStyle w:val="16"/>
        <w:tblpPr w:leftFromText="180" w:rightFromText="180" w:vertAnchor="text" w:horzAnchor="page" w:tblpX="1122" w:tblpY="277"/>
        <w:tblOverlap w:val="never"/>
        <w:tblW w:w="9730" w:type="dxa"/>
        <w:tblInd w:w="0" w:type="dxa"/>
        <w:shd w:val="clear" w:color="auto" w:fill="auto"/>
        <w:tblLayout w:type="fixed"/>
        <w:tblCellMar>
          <w:top w:w="0" w:type="dxa"/>
          <w:left w:w="0" w:type="dxa"/>
          <w:bottom w:w="0" w:type="dxa"/>
          <w:right w:w="0" w:type="dxa"/>
        </w:tblCellMar>
      </w:tblPr>
      <w:tblGrid>
        <w:gridCol w:w="580"/>
        <w:gridCol w:w="2670"/>
        <w:gridCol w:w="930"/>
        <w:gridCol w:w="1058"/>
        <w:gridCol w:w="4492"/>
      </w:tblGrid>
      <w:tr>
        <w:tblPrEx>
          <w:shd w:val="clear" w:color="auto" w:fill="auto"/>
          <w:tblCellMar>
            <w:top w:w="0" w:type="dxa"/>
            <w:left w:w="0" w:type="dxa"/>
            <w:bottom w:w="0" w:type="dxa"/>
            <w:right w:w="0" w:type="dxa"/>
          </w:tblCellMar>
        </w:tblPrEx>
        <w:trPr>
          <w:trHeight w:val="27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宋体" w:hAnsi="宋体"/>
                <w:b/>
                <w:bCs/>
                <w:color w:val="auto"/>
                <w:sz w:val="24"/>
              </w:rPr>
            </w:pPr>
            <w:r>
              <w:rPr>
                <w:rFonts w:hint="eastAsia" w:ascii="宋体" w:hAnsi="宋体"/>
                <w:b/>
                <w:bCs/>
                <w:color w:val="auto"/>
                <w:sz w:val="24"/>
                <w:lang w:val="en-US" w:eastAsia="zh-CN"/>
              </w:rPr>
              <w:t>序号</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rPr>
                <w:rFonts w:hint="eastAsia" w:ascii="宋体" w:hAnsi="宋体"/>
                <w:b/>
                <w:bCs/>
                <w:color w:val="auto"/>
                <w:sz w:val="24"/>
              </w:rPr>
            </w:pPr>
            <w:r>
              <w:rPr>
                <w:rFonts w:hint="eastAsia" w:ascii="宋体" w:hAnsi="宋体"/>
                <w:b/>
                <w:bCs/>
                <w:color w:val="auto"/>
                <w:sz w:val="24"/>
                <w:lang w:val="en-US" w:eastAsia="zh-CN"/>
              </w:rPr>
              <w:t>名称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hint="eastAsia" w:ascii="宋体" w:hAnsi="宋体"/>
                <w:b/>
                <w:bCs/>
                <w:color w:val="auto"/>
                <w:sz w:val="24"/>
              </w:rPr>
            </w:pPr>
            <w:r>
              <w:rPr>
                <w:rFonts w:hint="eastAsia" w:ascii="宋体" w:hAnsi="宋体"/>
                <w:b/>
                <w:bCs/>
                <w:color w:val="auto"/>
                <w:sz w:val="24"/>
                <w:lang w:val="en-US" w:eastAsia="zh-CN"/>
              </w:rPr>
              <w:t>单位</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hint="eastAsia" w:ascii="宋体" w:hAnsi="宋体"/>
                <w:b/>
                <w:bCs/>
                <w:color w:val="auto"/>
                <w:sz w:val="24"/>
              </w:rPr>
            </w:pPr>
            <w:r>
              <w:rPr>
                <w:rFonts w:hint="eastAsia" w:ascii="宋体" w:hAnsi="宋体"/>
                <w:b/>
                <w:bCs/>
                <w:color w:val="auto"/>
                <w:sz w:val="24"/>
                <w:lang w:val="en-US" w:eastAsia="zh-CN"/>
              </w:rPr>
              <w:t>数量</w:t>
            </w:r>
          </w:p>
        </w:tc>
        <w:tc>
          <w:tcPr>
            <w:tcW w:w="44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hint="eastAsia" w:ascii="宋体" w:hAnsi="宋体"/>
                <w:b/>
                <w:bCs/>
                <w:color w:val="auto"/>
                <w:sz w:val="24"/>
              </w:rPr>
            </w:pPr>
            <w:r>
              <w:rPr>
                <w:rFonts w:hint="eastAsia" w:ascii="宋体" w:hAnsi="宋体"/>
                <w:b/>
                <w:bCs/>
                <w:color w:val="auto"/>
                <w:sz w:val="24"/>
                <w:lang w:val="en-US" w:eastAsia="zh-CN"/>
              </w:rPr>
              <w:t>备注</w:t>
            </w:r>
          </w:p>
        </w:tc>
      </w:tr>
      <w:tr>
        <w:tblPrEx>
          <w:shd w:val="clear" w:color="auto" w:fill="auto"/>
          <w:tblCellMar>
            <w:top w:w="0" w:type="dxa"/>
            <w:left w:w="0" w:type="dxa"/>
            <w:bottom w:w="0" w:type="dxa"/>
            <w:right w:w="0" w:type="dxa"/>
          </w:tblCellMar>
        </w:tblPrEx>
        <w:trPr>
          <w:trHeight w:val="27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hint="eastAsia" w:ascii="宋体" w:hAnsi="宋体"/>
                <w:b/>
                <w:bCs/>
                <w:color w:val="auto"/>
                <w:sz w:val="24"/>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rPr>
                <w:rFonts w:hint="eastAsia" w:ascii="宋体" w:hAnsi="宋体"/>
                <w:b/>
                <w:bCs/>
                <w:color w:val="auto"/>
                <w:sz w:val="24"/>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hint="eastAsia" w:ascii="宋体" w:hAnsi="宋体"/>
                <w:b/>
                <w:bCs/>
                <w:color w:val="auto"/>
                <w:sz w:val="24"/>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hint="eastAsia" w:ascii="宋体" w:hAnsi="宋体"/>
                <w:b/>
                <w:bCs/>
                <w:color w:val="auto"/>
                <w:sz w:val="24"/>
              </w:rPr>
            </w:pPr>
          </w:p>
        </w:tc>
        <w:tc>
          <w:tcPr>
            <w:tcW w:w="44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hint="eastAsia" w:ascii="宋体" w:hAnsi="宋体"/>
                <w:b/>
                <w:bCs/>
                <w:color w:val="auto"/>
                <w:sz w:val="24"/>
              </w:rPr>
            </w:pPr>
          </w:p>
        </w:tc>
      </w:tr>
      <w:tr>
        <w:tblPrEx>
          <w:shd w:val="clear" w:color="auto" w:fill="auto"/>
          <w:tblCellMar>
            <w:top w:w="0" w:type="dxa"/>
            <w:left w:w="0" w:type="dxa"/>
            <w:bottom w:w="0" w:type="dxa"/>
            <w:right w:w="0" w:type="dxa"/>
          </w:tblCellMar>
        </w:tblPrEx>
        <w:trPr>
          <w:trHeight w:val="1747"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hint="eastAsia" w:ascii="宋体" w:hAnsi="宋体"/>
                <w:b/>
                <w:bCs/>
                <w:color w:val="auto"/>
                <w:sz w:val="24"/>
              </w:rPr>
            </w:pPr>
            <w:r>
              <w:rPr>
                <w:rFonts w:hint="eastAsia" w:ascii="宋体" w:hAnsi="宋体"/>
                <w:b/>
                <w:bCs/>
                <w:color w:val="auto"/>
                <w:sz w:val="24"/>
                <w:lang w:val="en-US" w:eastAsia="zh-CN"/>
              </w:rPr>
              <w:t>1</w:t>
            </w:r>
          </w:p>
        </w:tc>
        <w:tc>
          <w:tcPr>
            <w:tcW w:w="26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rPr>
                <w:rFonts w:hint="eastAsia" w:ascii="宋体" w:hAnsi="宋体"/>
                <w:b/>
                <w:bCs/>
                <w:color w:val="auto"/>
                <w:sz w:val="24"/>
                <w:lang w:val="en-US" w:eastAsia="zh-CN"/>
              </w:rPr>
            </w:pPr>
            <w:r>
              <w:rPr>
                <w:rFonts w:hint="eastAsia" w:ascii="宋体" w:hAnsi="宋体"/>
                <w:b/>
                <w:bCs/>
                <w:color w:val="auto"/>
                <w:sz w:val="24"/>
                <w:lang w:val="en-US" w:eastAsia="zh-CN"/>
              </w:rPr>
              <w:t xml:space="preserve">马尼拉草块   </w:t>
            </w:r>
          </w:p>
          <w:p>
            <w:pPr>
              <w:spacing w:line="360" w:lineRule="auto"/>
              <w:rPr>
                <w:rFonts w:hint="default" w:ascii="宋体" w:hAnsi="宋体"/>
                <w:b/>
                <w:bCs/>
                <w:color w:val="auto"/>
                <w:sz w:val="24"/>
                <w:lang w:val="en-US"/>
              </w:rPr>
            </w:pPr>
            <w:r>
              <w:rPr>
                <w:rFonts w:hint="eastAsia" w:ascii="宋体" w:hAnsi="宋体"/>
                <w:b/>
                <w:bCs/>
                <w:color w:val="auto"/>
                <w:sz w:val="24"/>
                <w:lang w:val="en-US" w:eastAsia="zh-CN"/>
              </w:rPr>
              <w:t>（每片18</w:t>
            </w:r>
            <w:r>
              <w:rPr>
                <w:rFonts w:hint="default" w:ascii="宋体" w:hAnsi="宋体"/>
                <w:b/>
                <w:bCs/>
                <w:color w:val="auto"/>
                <w:sz w:val="24"/>
                <w:lang w:val="en-US" w:eastAsia="zh-CN"/>
              </w:rPr>
              <w:t>cm</w:t>
            </w:r>
            <w:r>
              <w:rPr>
                <w:rFonts w:hint="eastAsia" w:ascii="宋体" w:hAnsi="宋体"/>
                <w:b/>
                <w:bCs/>
                <w:color w:val="auto"/>
                <w:sz w:val="24"/>
                <w:lang w:val="en-US" w:eastAsia="zh-CN"/>
              </w:rPr>
              <w:t>*18</w:t>
            </w:r>
            <w:r>
              <w:rPr>
                <w:rFonts w:hint="default" w:ascii="宋体" w:hAnsi="宋体"/>
                <w:b/>
                <w:bCs/>
                <w:color w:val="auto"/>
                <w:sz w:val="24"/>
                <w:lang w:val="en-US" w:eastAsia="zh-CN"/>
              </w:rPr>
              <w:t>cm</w:t>
            </w:r>
            <w:r>
              <w:rPr>
                <w:rFonts w:hint="eastAsia" w:ascii="宋体" w:hAnsi="宋体"/>
                <w:b/>
                <w:bCs/>
                <w:color w:val="auto"/>
                <w:sz w:val="24"/>
                <w:lang w:val="en-US" w:eastAsia="zh-CN"/>
              </w:rPr>
              <w:t>，每捆11片）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hint="eastAsia" w:ascii="宋体" w:hAnsi="宋体"/>
                <w:b/>
                <w:bCs/>
                <w:color w:val="auto"/>
                <w:sz w:val="24"/>
              </w:rPr>
            </w:pPr>
            <w:r>
              <w:rPr>
                <w:rFonts w:hint="eastAsia" w:ascii="宋体" w:hAnsi="宋体"/>
                <w:b/>
                <w:bCs/>
                <w:color w:val="auto"/>
                <w:sz w:val="24"/>
                <w:lang w:val="en-US" w:eastAsia="zh-CN"/>
              </w:rPr>
              <w:t>捆</w:t>
            </w:r>
          </w:p>
        </w:tc>
        <w:tc>
          <w:tcPr>
            <w:tcW w:w="10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hint="default" w:ascii="宋体" w:hAnsi="宋体"/>
                <w:b/>
                <w:bCs/>
                <w:color w:val="auto"/>
                <w:sz w:val="24"/>
                <w:lang w:val="en-US"/>
              </w:rPr>
            </w:pPr>
            <w:r>
              <w:rPr>
                <w:rFonts w:hint="eastAsia" w:ascii="宋体" w:hAnsi="宋体"/>
                <w:b/>
                <w:bCs/>
                <w:color w:val="auto"/>
                <w:sz w:val="24"/>
                <w:lang w:val="en-US" w:eastAsia="zh-CN"/>
              </w:rPr>
              <w:t>23600</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hint="default" w:ascii="宋体" w:hAnsi="宋体"/>
                <w:b/>
                <w:bCs/>
                <w:color w:val="auto"/>
                <w:sz w:val="24"/>
                <w:lang w:val="en-US" w:eastAsia="zh-CN"/>
              </w:rPr>
            </w:pPr>
            <w:r>
              <w:rPr>
                <w:rFonts w:hint="eastAsia" w:ascii="宋体" w:hAnsi="宋体"/>
                <w:b/>
                <w:bCs/>
                <w:color w:val="auto"/>
                <w:sz w:val="24"/>
                <w:lang w:val="en-US" w:eastAsia="zh-CN"/>
              </w:rPr>
              <w:t>1.</w:t>
            </w:r>
            <w:r>
              <w:rPr>
                <w:rFonts w:hint="eastAsia" w:ascii="宋体" w:hAnsi="宋体"/>
                <w:b/>
                <w:bCs/>
                <w:color w:val="auto"/>
                <w:sz w:val="24"/>
                <w:lang w:eastAsia="zh-CN"/>
              </w:rPr>
              <w:t>供货日期：</w:t>
            </w:r>
            <w:r>
              <w:rPr>
                <w:rFonts w:hint="eastAsia" w:ascii="宋体" w:hAnsi="宋体"/>
                <w:b/>
                <w:bCs/>
                <w:color w:val="auto"/>
                <w:sz w:val="24"/>
                <w:lang w:val="en-US" w:eastAsia="zh-CN"/>
              </w:rPr>
              <w:t>一个月内完成供货</w:t>
            </w:r>
          </w:p>
          <w:p>
            <w:pPr>
              <w:spacing w:line="360" w:lineRule="auto"/>
              <w:ind w:firstLine="477" w:firstLineChars="198"/>
              <w:rPr>
                <w:rFonts w:hint="default" w:ascii="宋体" w:hAnsi="宋体"/>
                <w:b/>
                <w:bCs/>
                <w:color w:val="auto"/>
                <w:sz w:val="24"/>
                <w:lang w:val="en-US" w:eastAsia="zh-CN"/>
              </w:rPr>
            </w:pPr>
            <w:r>
              <w:rPr>
                <w:rFonts w:hint="eastAsia" w:ascii="宋体" w:hAnsi="宋体"/>
                <w:b/>
                <w:bCs/>
                <w:color w:val="auto"/>
                <w:sz w:val="24"/>
                <w:lang w:val="en-US" w:eastAsia="zh-CN"/>
              </w:rPr>
              <w:t>2.结算数量以现场验收数量为准，据实结算。</w:t>
            </w:r>
          </w:p>
          <w:p>
            <w:pPr>
              <w:spacing w:line="360" w:lineRule="auto"/>
              <w:ind w:firstLine="477" w:firstLineChars="198"/>
              <w:rPr>
                <w:rFonts w:hint="default" w:ascii="宋体" w:hAnsi="宋体"/>
                <w:b/>
                <w:bCs/>
                <w:color w:val="auto"/>
                <w:sz w:val="24"/>
                <w:lang w:val="en-US" w:eastAsia="zh-CN"/>
              </w:rPr>
            </w:pPr>
            <w:r>
              <w:rPr>
                <w:rFonts w:hint="eastAsia" w:ascii="宋体" w:hAnsi="宋体"/>
                <w:b/>
                <w:bCs/>
                <w:color w:val="auto"/>
                <w:sz w:val="24"/>
                <w:lang w:val="en-US" w:eastAsia="zh-CN"/>
              </w:rPr>
              <w:t>3.草块须无杂草、无病虫害，较为干净整齐、草皮带土厚度&gt;1cm</w:t>
            </w:r>
          </w:p>
        </w:tc>
      </w:tr>
    </w:tbl>
    <w:p>
      <w:pPr>
        <w:pStyle w:val="6"/>
        <w:widowControl w:val="0"/>
        <w:numPr>
          <w:ilvl w:val="0"/>
          <w:numId w:val="0"/>
        </w:numPr>
        <w:ind w:leftChars="0"/>
        <w:jc w:val="both"/>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477" w:firstLineChars="198"/>
        <w:rPr>
          <w:rFonts w:hint="eastAsia" w:ascii="宋体" w:hAnsi="宋体"/>
          <w:b/>
          <w:bCs/>
          <w:color w:val="auto"/>
          <w:sz w:val="24"/>
        </w:rPr>
      </w:pPr>
      <w:r>
        <w:rPr>
          <w:rFonts w:hint="eastAsia" w:ascii="宋体" w:hAnsi="宋体"/>
          <w:b/>
          <w:bCs/>
          <w:color w:val="auto"/>
          <w:sz w:val="24"/>
        </w:rPr>
        <w:t>投标人必须在投标</w:t>
      </w:r>
      <w:r>
        <w:rPr>
          <w:rFonts w:ascii="宋体" w:hAnsi="宋体"/>
          <w:b/>
          <w:bCs/>
          <w:color w:val="auto"/>
          <w:sz w:val="24"/>
        </w:rPr>
        <w:t>截止</w:t>
      </w:r>
      <w:r>
        <w:rPr>
          <w:rFonts w:hint="eastAsia" w:ascii="宋体" w:hAnsi="宋体"/>
          <w:b/>
          <w:bCs/>
          <w:color w:val="auto"/>
          <w:sz w:val="24"/>
        </w:rPr>
        <w:t>时间</w:t>
      </w:r>
      <w:r>
        <w:rPr>
          <w:rFonts w:ascii="宋体" w:hAnsi="宋体"/>
          <w:b/>
          <w:bCs/>
          <w:color w:val="auto"/>
          <w:sz w:val="24"/>
        </w:rPr>
        <w:t>前</w:t>
      </w:r>
      <w:r>
        <w:rPr>
          <w:rFonts w:hint="eastAsia" w:ascii="宋体" w:hAnsi="宋体"/>
          <w:b/>
          <w:bCs/>
          <w:color w:val="auto"/>
          <w:sz w:val="24"/>
        </w:rPr>
        <w:t>提供下列样品，递交样品地点与递交投标文件地点相同，中标人的样品将封存，作为交货验收的依据：</w:t>
      </w:r>
    </w:p>
    <w:p>
      <w:pPr>
        <w:keepNext w:val="0"/>
        <w:keepLines w:val="0"/>
        <w:widowControl/>
        <w:suppressLineNumbers w:val="0"/>
        <w:spacing w:line="360" w:lineRule="auto"/>
        <w:jc w:val="left"/>
        <w:textAlignment w:val="center"/>
        <w:rPr>
          <w:rFonts w:hint="eastAsia" w:hAnsi="宋体"/>
          <w:b/>
          <w:bCs/>
          <w:color w:val="auto"/>
          <w:sz w:val="24"/>
          <w:lang w:val="en-US" w:eastAsia="zh-CN"/>
        </w:rPr>
      </w:pP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仿宋_GB2312" w:cs="宋体"/>
          <w:b/>
          <w:bCs/>
          <w:i w:val="0"/>
          <w:iCs w:val="0"/>
          <w:color w:val="auto"/>
          <w:kern w:val="0"/>
          <w:sz w:val="24"/>
          <w:szCs w:val="24"/>
          <w:u w:val="none"/>
          <w:lang w:val="en-US" w:eastAsia="zh-CN" w:bidi="ar"/>
        </w:rPr>
        <w:t>马尼拉草块（每片18</w:t>
      </w:r>
      <w:r>
        <w:rPr>
          <w:rFonts w:hint="default" w:ascii="宋体" w:hAnsi="宋体" w:eastAsia="仿宋_GB2312" w:cs="宋体"/>
          <w:b/>
          <w:bCs/>
          <w:i w:val="0"/>
          <w:iCs w:val="0"/>
          <w:color w:val="auto"/>
          <w:kern w:val="0"/>
          <w:sz w:val="24"/>
          <w:szCs w:val="24"/>
          <w:u w:val="none"/>
          <w:lang w:val="en-US" w:eastAsia="zh-CN" w:bidi="ar"/>
        </w:rPr>
        <w:t>cm</w:t>
      </w:r>
      <w:r>
        <w:rPr>
          <w:rFonts w:hint="eastAsia" w:ascii="宋体" w:hAnsi="宋体" w:eastAsia="仿宋_GB2312" w:cs="宋体"/>
          <w:b/>
          <w:bCs/>
          <w:i w:val="0"/>
          <w:iCs w:val="0"/>
          <w:color w:val="auto"/>
          <w:kern w:val="0"/>
          <w:sz w:val="24"/>
          <w:szCs w:val="24"/>
          <w:u w:val="none"/>
          <w:lang w:val="en-US" w:eastAsia="zh-CN" w:bidi="ar"/>
        </w:rPr>
        <w:t>*18</w:t>
      </w:r>
      <w:r>
        <w:rPr>
          <w:rFonts w:hint="default" w:ascii="宋体" w:hAnsi="宋体" w:eastAsia="仿宋_GB2312" w:cs="宋体"/>
          <w:b/>
          <w:bCs/>
          <w:i w:val="0"/>
          <w:iCs w:val="0"/>
          <w:color w:val="auto"/>
          <w:kern w:val="0"/>
          <w:sz w:val="24"/>
          <w:szCs w:val="24"/>
          <w:u w:val="none"/>
          <w:lang w:val="en-US" w:eastAsia="zh-CN" w:bidi="ar"/>
        </w:rPr>
        <w:t>cm</w:t>
      </w:r>
      <w:r>
        <w:rPr>
          <w:rFonts w:hint="eastAsia" w:ascii="宋体" w:hAnsi="宋体" w:eastAsia="仿宋_GB2312" w:cs="宋体"/>
          <w:b/>
          <w:bCs/>
          <w:i w:val="0"/>
          <w:iCs w:val="0"/>
          <w:color w:val="auto"/>
          <w:kern w:val="0"/>
          <w:sz w:val="24"/>
          <w:szCs w:val="24"/>
          <w:u w:val="none"/>
          <w:lang w:val="en-US" w:eastAsia="zh-CN" w:bidi="ar"/>
        </w:rPr>
        <w:t xml:space="preserve">，每捆11片） </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仿宋_GB2312" w:cs="宋体"/>
          <w:b/>
          <w:bCs/>
          <w:i w:val="0"/>
          <w:iCs w:val="0"/>
          <w:color w:val="auto"/>
          <w:kern w:val="0"/>
          <w:sz w:val="24"/>
          <w:szCs w:val="24"/>
          <w:u w:val="none"/>
          <w:lang w:val="en-US" w:eastAsia="zh-CN" w:bidi="ar"/>
        </w:rPr>
        <w:t>1捆</w:t>
      </w:r>
    </w:p>
    <w:p>
      <w:pPr>
        <w:pStyle w:val="8"/>
        <w:spacing w:line="360" w:lineRule="auto"/>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b/>
          <w:bCs/>
          <w:color w:val="auto"/>
          <w:sz w:val="24"/>
          <w:lang w:val="en-US" w:eastAsia="zh-CN"/>
        </w:rPr>
        <w:t xml:space="preserve">  </w:t>
      </w:r>
      <w:r>
        <w:rPr>
          <w:rFonts w:hint="eastAsia" w:ascii="宋体" w:hAnsi="宋体"/>
          <w:b/>
          <w:bCs/>
          <w:color w:val="auto"/>
          <w:sz w:val="24"/>
        </w:rPr>
        <w:t>投标人须自行在提供的样品上面标识公司名称。中标人的样品将封存，作为交货验收的依据。投标人未提供样品或提供的样品材质未达到要求指标以上的，评标委员会有可能做出对投标人不利的评审。</w:t>
      </w:r>
    </w:p>
    <w:p>
      <w:pPr>
        <w:numPr>
          <w:ilvl w:val="0"/>
          <w:numId w:val="2"/>
        </w:numPr>
        <w:spacing w:beforeLines="100" w:line="360" w:lineRule="auto"/>
        <w:ind w:left="510" w:leftChars="0" w:hanging="51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投标要求</w:t>
      </w:r>
    </w:p>
    <w:p>
      <w:pPr>
        <w:pStyle w:val="24"/>
        <w:numPr>
          <w:ilvl w:val="0"/>
          <w:numId w:val="0"/>
        </w:numPr>
        <w:spacing w:line="360" w:lineRule="auto"/>
        <w:ind w:leftChars="0"/>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1、供货商应具备的资格条件：</w:t>
      </w:r>
    </w:p>
    <w:p>
      <w:pPr>
        <w:pStyle w:val="24"/>
        <w:numPr>
          <w:ilvl w:val="0"/>
          <w:numId w:val="0"/>
        </w:numPr>
        <w:spacing w:line="360" w:lineRule="auto"/>
        <w:ind w:firstLine="240" w:firstLineChars="100"/>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1）具有合法的法人资格、独立承担民事责任的能力；</w:t>
      </w:r>
    </w:p>
    <w:p>
      <w:pPr>
        <w:pStyle w:val="24"/>
        <w:numPr>
          <w:ilvl w:val="0"/>
          <w:numId w:val="0"/>
        </w:numPr>
        <w:spacing w:line="360" w:lineRule="auto"/>
        <w:ind w:firstLine="240" w:firstLineChars="100"/>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2）遵守国家的法律、行政法规，具有良好的商业信誉；</w:t>
      </w:r>
    </w:p>
    <w:p>
      <w:pPr>
        <w:pStyle w:val="24"/>
        <w:numPr>
          <w:ilvl w:val="0"/>
          <w:numId w:val="0"/>
        </w:numPr>
        <w:spacing w:line="360" w:lineRule="auto"/>
        <w:ind w:firstLine="240" w:firstLineChars="100"/>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3）具有履行合同所必须的货源或草场；</w:t>
      </w:r>
    </w:p>
    <w:p>
      <w:pPr>
        <w:pStyle w:val="24"/>
        <w:numPr>
          <w:ilvl w:val="0"/>
          <w:numId w:val="0"/>
        </w:numPr>
        <w:spacing w:line="360" w:lineRule="auto"/>
        <w:ind w:firstLine="240" w:firstLineChars="100"/>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4）营业执照经营范围有园艺作物种植、销售、园林绿化服务、牧草的终止、收购、销售、农业服务等的企业或个体工商户；</w:t>
      </w:r>
    </w:p>
    <w:p>
      <w:pPr>
        <w:pStyle w:val="24"/>
        <w:numPr>
          <w:ilvl w:val="0"/>
          <w:numId w:val="0"/>
        </w:numPr>
        <w:spacing w:line="360" w:lineRule="auto"/>
        <w:ind w:firstLine="240" w:firstLineChars="100"/>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5）参加政府采购活动前三年内，在经营活动中没有重大违法记录；</w:t>
      </w:r>
    </w:p>
    <w:p>
      <w:pPr>
        <w:pStyle w:val="2"/>
        <w:numPr>
          <w:ilvl w:val="0"/>
          <w:numId w:val="0"/>
        </w:numPr>
        <w:spacing w:line="360" w:lineRule="auto"/>
        <w:ind w:leftChars="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p>
    <w:p>
      <w:pPr>
        <w:pStyle w:val="24"/>
        <w:numPr>
          <w:ilvl w:val="0"/>
          <w:numId w:val="0"/>
        </w:numPr>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2、投标人须为独立法人企业，不接受联合体投标。</w:t>
      </w:r>
    </w:p>
    <w:p>
      <w:pPr>
        <w:pStyle w:val="24"/>
        <w:numPr>
          <w:ilvl w:val="0"/>
          <w:numId w:val="0"/>
        </w:numPr>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3、开标时须提供报价单一份、营业执照副本复印件并加盖公章、草块质量承诺函、法定代表人授权委托书（投标人代表不是法定代表人）、投标人代表身份证复印件、投标人认为需要提供的其它说明和资料。</w:t>
      </w:r>
    </w:p>
    <w:p>
      <w:pPr>
        <w:pStyle w:val="24"/>
        <w:numPr>
          <w:ilvl w:val="0"/>
          <w:numId w:val="0"/>
        </w:numPr>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 投标人应将所有投标材料密封在文件密封袋里，封口处应密封，并在密封口处注明投票单位名称，同时加盖单位公章。</w:t>
      </w:r>
    </w:p>
    <w:p>
      <w:pPr>
        <w:pStyle w:val="2"/>
        <w:spacing w:line="360" w:lineRule="auto"/>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5、因疫情防控需要，进校投标人员请确保自身安全情况下持48小时核酸报告，健康码，方能入校，并提前报备通行车辆，一家公司仅限一人参标。</w:t>
      </w:r>
    </w:p>
    <w:p>
      <w:pPr>
        <w:numPr>
          <w:ilvl w:val="0"/>
          <w:numId w:val="0"/>
        </w:numPr>
        <w:spacing w:beforeLines="100" w:line="360" w:lineRule="auto"/>
        <w:ind w:leftChars="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三、报价须知</w:t>
      </w:r>
    </w:p>
    <w:p>
      <w:pPr>
        <w:pStyle w:val="24"/>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1、投标人所报单价包含将草块运送至甲方指定地点验收合格交货的价格，包括草块费、包装费、装运费及相关税费等相关费用。</w:t>
      </w:r>
    </w:p>
    <w:p>
      <w:pPr>
        <w:pStyle w:val="24"/>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2、公告中采购数量为预估数，实际送货数量以现场需求为准，据实结算。</w:t>
      </w:r>
    </w:p>
    <w:p>
      <w:pPr>
        <w:pStyle w:val="24"/>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3、投标时需携带1捆草块作为样品，样品由招标方留存，不予以退还。</w:t>
      </w:r>
    </w:p>
    <w:p>
      <w:pPr>
        <w:pStyle w:val="24"/>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4、中标人应提供与投标样品一致质量的产品，若在验收过程中发现不符合规格要求的，则进行全部退货！并且将列为不诚信供应商，将不再进行合作。</w:t>
      </w:r>
    </w:p>
    <w:p>
      <w:pPr>
        <w:pStyle w:val="24"/>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5、送货时必须配带送货单，送货规格必须达到投标规格，并在送货单上详细填写送货数量和规格，并有招标方现场管理人员签字。</w:t>
      </w:r>
    </w:p>
    <w:p>
      <w:pPr>
        <w:pStyle w:val="24"/>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6、投标人应根据招标人采购的</w:t>
      </w:r>
      <w:r>
        <w:rPr>
          <w:rFonts w:hint="eastAsia" w:ascii="仿宋" w:hAnsi="仿宋" w:eastAsia="仿宋" w:cs="仿宋"/>
          <w:color w:val="auto"/>
          <w:sz w:val="24"/>
          <w:szCs w:val="24"/>
          <w:lang w:val="en-US" w:eastAsia="zh-CN"/>
        </w:rPr>
        <w:t>规格、数量、</w:t>
      </w:r>
      <w:r>
        <w:rPr>
          <w:rFonts w:hint="eastAsia" w:ascii="仿宋" w:hAnsi="仿宋" w:eastAsia="仿宋" w:cs="仿宋"/>
          <w:sz w:val="24"/>
          <w:szCs w:val="24"/>
          <w:lang w:val="en-US" w:eastAsia="zh-CN"/>
        </w:rPr>
        <w:t>带土厚度</w:t>
      </w:r>
      <w:r>
        <w:rPr>
          <w:rFonts w:hint="eastAsia" w:ascii="仿宋" w:hAnsi="仿宋" w:eastAsia="仿宋" w:cs="仿宋"/>
          <w:color w:val="auto"/>
          <w:sz w:val="24"/>
          <w:szCs w:val="24"/>
          <w:lang w:val="en-US" w:eastAsia="zh-CN"/>
        </w:rPr>
        <w:t>标准和计划进场时间进行发货，如擅自变更规格、数量，私自更改发货时间等行为，购货方有权取消采购计划或要求退场。</w:t>
      </w:r>
    </w:p>
    <w:p>
      <w:pPr>
        <w:pStyle w:val="6"/>
        <w:numPr>
          <w:ilvl w:val="0"/>
          <w:numId w:val="0"/>
        </w:numPr>
        <w:ind w:leftChars="0"/>
        <w:rPr>
          <w:rFonts w:hint="eastAsia" w:ascii="Times New Roman" w:hAnsi="Times New Roman" w:eastAsia="仿宋_GB2312" w:cs="Times New Roman"/>
          <w:b/>
          <w:kern w:val="2"/>
          <w:sz w:val="28"/>
          <w:szCs w:val="28"/>
          <w:lang w:val="en-US" w:eastAsia="zh-CN" w:bidi="ar-SA"/>
        </w:rPr>
      </w:pPr>
      <w:r>
        <w:rPr>
          <w:rFonts w:hint="eastAsia" w:ascii="Times New Roman" w:hAnsi="Times New Roman" w:eastAsia="仿宋_GB2312" w:cs="Times New Roman"/>
          <w:b/>
          <w:kern w:val="2"/>
          <w:sz w:val="28"/>
          <w:szCs w:val="28"/>
          <w:lang w:val="en-US" w:eastAsia="zh-CN" w:bidi="ar-SA"/>
        </w:rPr>
        <w:t>四、评分办法</w:t>
      </w:r>
    </w:p>
    <w:tbl>
      <w:tblPr>
        <w:tblStyle w:val="16"/>
        <w:tblW w:w="54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7371"/>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评分细则</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1" w:hRule="atLeast"/>
        </w:trPr>
        <w:tc>
          <w:tcPr>
            <w:tcW w:w="5000" w:type="pct"/>
            <w:gridSpan w:val="3"/>
            <w:shd w:val="clear" w:color="auto" w:fill="auto"/>
            <w:vAlign w:val="center"/>
          </w:tcPr>
          <w:p>
            <w:pPr>
              <w:spacing w:line="240" w:lineRule="auto"/>
              <w:ind w:right="-118" w:rightChars="-37"/>
              <w:rPr>
                <w:rFonts w:hint="eastAsia" w:ascii="仿宋" w:hAnsi="仿宋" w:eastAsia="仿宋" w:cs="仿宋"/>
                <w:b/>
                <w:kern w:val="10"/>
                <w:sz w:val="24"/>
                <w:szCs w:val="24"/>
                <w:lang w:val="en-US" w:eastAsia="zh-CN"/>
              </w:rPr>
            </w:pPr>
            <w:r>
              <w:rPr>
                <w:rFonts w:hint="eastAsia" w:ascii="仿宋" w:hAnsi="仿宋" w:eastAsia="仿宋" w:cs="仿宋"/>
                <w:b/>
                <w:kern w:val="10"/>
                <w:sz w:val="24"/>
                <w:szCs w:val="24"/>
                <w:lang w:val="en-US" w:eastAsia="zh-CN"/>
              </w:rPr>
              <w:t>本项目采用满足招标要求的情况下最低价中标，即投标人通过资格审核且所提供的样品符合招标方要求的情况下，报价最低者中标。</w:t>
            </w:r>
          </w:p>
          <w:p>
            <w:pPr>
              <w:pStyle w:val="24"/>
              <w:numPr>
                <w:ilvl w:val="0"/>
                <w:numId w:val="0"/>
              </w:numPr>
              <w:spacing w:line="240" w:lineRule="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1、草皮质量标准</w:t>
            </w:r>
          </w:p>
          <w:p>
            <w:pPr>
              <w:pStyle w:val="24"/>
              <w:numPr>
                <w:ilvl w:val="0"/>
                <w:numId w:val="0"/>
              </w:num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1）投标的马尼拉草块应无杂草、密度达95%以上，草色纯正，生长势好，边缘整齐、厚度一致，紧密不散，草块周边平直整齐，高度一致，必须与其下的土壤密接，互相衔接不留缝。</w:t>
            </w:r>
          </w:p>
          <w:p>
            <w:pPr>
              <w:pStyle w:val="24"/>
              <w:numPr>
                <w:ilvl w:val="0"/>
                <w:numId w:val="0"/>
              </w:num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2）草块须无病虫害，较为干净整齐、草皮带土厚度</w:t>
            </w:r>
            <w:r>
              <w:rPr>
                <w:rFonts w:hint="default" w:ascii="仿宋" w:hAnsi="仿宋" w:eastAsia="仿宋" w:cs="仿宋"/>
                <w:kern w:val="2"/>
                <w:sz w:val="24"/>
                <w:szCs w:val="24"/>
                <w:lang w:val="en-US" w:eastAsia="zh-CN" w:bidi="ar-SA"/>
              </w:rPr>
              <w:t>&gt;</w:t>
            </w:r>
            <w:r>
              <w:rPr>
                <w:rFonts w:hint="eastAsia" w:ascii="仿宋" w:hAnsi="仿宋" w:eastAsia="仿宋" w:cs="仿宋"/>
                <w:kern w:val="2"/>
                <w:sz w:val="24"/>
                <w:szCs w:val="24"/>
                <w:lang w:val="en-US" w:eastAsia="zh-CN" w:bidi="ar-SA"/>
              </w:rPr>
              <w:t>1</w:t>
            </w:r>
            <w:r>
              <w:rPr>
                <w:rFonts w:hint="default" w:ascii="仿宋" w:hAnsi="仿宋" w:eastAsia="仿宋" w:cs="仿宋"/>
                <w:kern w:val="2"/>
                <w:sz w:val="24"/>
                <w:szCs w:val="24"/>
                <w:lang w:val="en-US" w:eastAsia="zh-CN" w:bidi="ar-SA"/>
              </w:rPr>
              <w:t>cm</w:t>
            </w:r>
            <w:r>
              <w:rPr>
                <w:rFonts w:hint="eastAsia" w:ascii="仿宋" w:hAnsi="仿宋" w:eastAsia="仿宋" w:cs="仿宋"/>
                <w:kern w:val="2"/>
                <w:sz w:val="24"/>
                <w:szCs w:val="24"/>
                <w:lang w:val="en-US" w:eastAsia="zh-CN" w:bidi="ar-SA"/>
              </w:rPr>
              <w:t>。</w:t>
            </w:r>
          </w:p>
          <w:p>
            <w:pPr>
              <w:pStyle w:val="24"/>
              <w:numPr>
                <w:ilvl w:val="0"/>
                <w:numId w:val="0"/>
              </w:numPr>
              <w:spacing w:line="240" w:lineRule="auto"/>
              <w:rPr>
                <w:rFonts w:hint="default"/>
                <w:lang w:val="en-US" w:eastAsia="zh-CN"/>
              </w:rPr>
            </w:pPr>
            <w:r>
              <w:rPr>
                <w:rFonts w:hint="eastAsia" w:ascii="仿宋" w:hAnsi="仿宋" w:eastAsia="仿宋" w:cs="仿宋"/>
                <w:kern w:val="2"/>
                <w:sz w:val="24"/>
                <w:szCs w:val="24"/>
                <w:lang w:val="en-US" w:eastAsia="zh-CN" w:bidi="ar-SA"/>
              </w:rPr>
              <w:t>3）投标人应对草块质量做质量承诺。（在投标文件中提供书面承诺）</w:t>
            </w:r>
          </w:p>
          <w:p>
            <w:pPr>
              <w:spacing w:line="240" w:lineRule="auto"/>
              <w:ind w:right="-118" w:rightChars="-37"/>
              <w:rPr>
                <w:rFonts w:hint="eastAsia" w:ascii="仿宋" w:hAnsi="仿宋" w:eastAsia="仿宋" w:cs="仿宋"/>
                <w:b/>
                <w:kern w:val="10"/>
                <w:sz w:val="24"/>
                <w:szCs w:val="24"/>
              </w:rPr>
            </w:pPr>
            <w:r>
              <w:rPr>
                <w:rFonts w:hint="eastAsia" w:ascii="仿宋" w:hAnsi="仿宋" w:eastAsia="仿宋" w:cs="仿宋"/>
                <w:b/>
                <w:kern w:val="10"/>
                <w:sz w:val="24"/>
                <w:szCs w:val="24"/>
                <w:lang w:val="en-US" w:eastAsia="zh-CN"/>
              </w:rPr>
              <w:t>2</w:t>
            </w:r>
            <w:r>
              <w:rPr>
                <w:rFonts w:hint="eastAsia" w:ascii="仿宋" w:hAnsi="仿宋" w:eastAsia="仿宋" w:cs="仿宋"/>
                <w:b/>
                <w:kern w:val="10"/>
                <w:sz w:val="24"/>
                <w:szCs w:val="24"/>
              </w:rPr>
              <w:t>、</w:t>
            </w:r>
            <w:r>
              <w:rPr>
                <w:rFonts w:hint="eastAsia" w:ascii="仿宋" w:hAnsi="仿宋" w:eastAsia="仿宋" w:cs="仿宋"/>
                <w:b/>
                <w:sz w:val="24"/>
                <w:szCs w:val="24"/>
              </w:rPr>
              <w:t>价格因素</w:t>
            </w:r>
            <w:r>
              <w:rPr>
                <w:rFonts w:hint="eastAsia" w:ascii="仿宋" w:hAnsi="仿宋" w:eastAsia="仿宋" w:cs="仿宋"/>
                <w:b/>
                <w:kern w:val="10"/>
                <w:sz w:val="24"/>
                <w:szCs w:val="24"/>
              </w:rPr>
              <w:t>（满分</w:t>
            </w:r>
            <w:r>
              <w:rPr>
                <w:rFonts w:hint="eastAsia" w:ascii="仿宋" w:hAnsi="仿宋" w:eastAsia="仿宋" w:cs="仿宋"/>
                <w:b/>
                <w:kern w:val="10"/>
                <w:sz w:val="24"/>
                <w:szCs w:val="24"/>
                <w:lang w:val="en-US" w:eastAsia="zh-CN"/>
              </w:rPr>
              <w:t>100</w:t>
            </w:r>
            <w:r>
              <w:rPr>
                <w:rFonts w:hint="eastAsia" w:ascii="仿宋" w:hAnsi="仿宋" w:eastAsia="仿宋" w:cs="仿宋"/>
                <w:b/>
                <w:kern w:val="10"/>
                <w:sz w:val="24"/>
                <w:szCs w:val="24"/>
              </w:rPr>
              <w:t>分，占总权重的</w:t>
            </w:r>
            <w:r>
              <w:rPr>
                <w:rFonts w:hint="eastAsia" w:ascii="仿宋" w:hAnsi="仿宋" w:eastAsia="仿宋" w:cs="仿宋"/>
                <w:b/>
                <w:kern w:val="10"/>
                <w:sz w:val="24"/>
                <w:szCs w:val="24"/>
                <w:lang w:val="en-US" w:eastAsia="zh-CN"/>
              </w:rPr>
              <w:t>100</w:t>
            </w:r>
            <w:r>
              <w:rPr>
                <w:rFonts w:hint="eastAsia" w:ascii="仿宋" w:hAnsi="仿宋" w:eastAsia="仿宋" w:cs="仿宋"/>
                <w:b/>
                <w:kern w:val="10"/>
                <w:sz w:val="24"/>
                <w:szCs w:val="24"/>
              </w:rPr>
              <w:t>%）</w:t>
            </w:r>
          </w:p>
          <w:p>
            <w:pPr>
              <w:tabs>
                <w:tab w:val="left" w:pos="1080"/>
              </w:tabs>
              <w:spacing w:line="240" w:lineRule="auto"/>
              <w:ind w:firstLine="480" w:firstLineChars="200"/>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sz w:val="24"/>
                <w:szCs w:val="24"/>
              </w:rPr>
              <w:t>评标基准价计算方法统一采用低价优先法，即满足招标文件要求且最低的投标评审价格作为评标基准价，其价格分为满分。其他投标人价格分按下列公式计算：投标报价得分= 评标基准价/有效投标评审价格×</w:t>
            </w:r>
            <w:r>
              <w:rPr>
                <w:rFonts w:hint="eastAsia" w:ascii="仿宋" w:hAnsi="仿宋" w:eastAsia="仿宋" w:cs="仿宋"/>
                <w:sz w:val="24"/>
                <w:szCs w:val="24"/>
                <w:lang w:val="en-US" w:eastAsia="zh-CN"/>
              </w:rPr>
              <w:t>100</w:t>
            </w:r>
          </w:p>
        </w:tc>
      </w:tr>
    </w:tbl>
    <w:p>
      <w:pPr>
        <w:pStyle w:val="6"/>
        <w:widowControl w:val="0"/>
        <w:numPr>
          <w:ilvl w:val="0"/>
          <w:numId w:val="0"/>
        </w:numPr>
        <w:ind w:leftChars="0"/>
        <w:jc w:val="both"/>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b/>
          <w:sz w:val="28"/>
          <w:szCs w:val="28"/>
        </w:rPr>
      </w:pPr>
      <w:r>
        <w:rPr>
          <w:rFonts w:hint="eastAsia"/>
          <w:b/>
          <w:sz w:val="28"/>
          <w:szCs w:val="28"/>
        </w:rPr>
        <w:t>五、合同签订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本项目的用户单位为</w:t>
      </w:r>
      <w:r>
        <w:rPr>
          <w:rFonts w:hint="eastAsia" w:ascii="仿宋" w:hAnsi="仿宋" w:eastAsia="仿宋" w:cs="仿宋"/>
          <w:sz w:val="24"/>
          <w:u w:val="single"/>
        </w:rPr>
        <w:t>厦门大学后勤集团</w:t>
      </w:r>
      <w:r>
        <w:rPr>
          <w:rFonts w:hint="eastAsia" w:ascii="仿宋" w:hAnsi="仿宋" w:eastAsia="仿宋" w:cs="仿宋"/>
          <w:sz w:val="24"/>
          <w:u w:val="single"/>
          <w:lang w:val="en-US" w:eastAsia="zh-CN"/>
        </w:rPr>
        <w:t>学生公寓与环境服务中心</w:t>
      </w:r>
      <w:r>
        <w:rPr>
          <w:rFonts w:hint="eastAsia" w:ascii="仿宋" w:hAnsi="仿宋" w:eastAsia="仿宋" w:cs="仿宋"/>
          <w:sz w:val="24"/>
        </w:rPr>
        <w:t>，成交供应商接到中标通知后，持成交通知书与用户签订合同。采购文件、成交供应商的投标文件及其澄清文件均作为签订技术和服务协议、合同订立的基础。</w:t>
      </w:r>
    </w:p>
    <w:p>
      <w:pPr>
        <w:pStyle w:val="25"/>
        <w:spacing w:line="360" w:lineRule="auto"/>
        <w:ind w:left="562" w:hanging="560"/>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、付款条件</w:t>
      </w:r>
    </w:p>
    <w:p>
      <w:pPr>
        <w:spacing w:line="360" w:lineRule="auto"/>
        <w:ind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合同签订后，全部货到完</w:t>
      </w:r>
      <w:r>
        <w:rPr>
          <w:rFonts w:hint="eastAsia" w:ascii="仿宋" w:hAnsi="仿宋" w:eastAsia="仿宋" w:cs="仿宋"/>
          <w:sz w:val="24"/>
          <w:szCs w:val="24"/>
          <w:lang w:val="en-US" w:eastAsia="zh-CN"/>
        </w:rPr>
        <w:t>经</w:t>
      </w:r>
      <w:r>
        <w:rPr>
          <w:rFonts w:hint="eastAsia" w:ascii="仿宋" w:hAnsi="仿宋" w:eastAsia="仿宋" w:cs="仿宋"/>
          <w:sz w:val="24"/>
          <w:szCs w:val="24"/>
        </w:rPr>
        <w:t>验收合格之后一次性付款</w:t>
      </w:r>
      <w:r>
        <w:rPr>
          <w:rFonts w:hint="eastAsia" w:ascii="仿宋" w:hAnsi="仿宋" w:eastAsia="仿宋" w:cs="仿宋"/>
          <w:sz w:val="24"/>
          <w:szCs w:val="24"/>
          <w:lang w:eastAsia="zh-CN"/>
        </w:rPr>
        <w:t>。</w:t>
      </w:r>
    </w:p>
    <w:p>
      <w:pPr>
        <w:ind w:firstLine="2168" w:firstLineChars="600"/>
        <w:jc w:val="both"/>
        <w:rPr>
          <w:rFonts w:hint="eastAsia" w:ascii="宋体" w:hAnsi="宋体"/>
          <w:b/>
          <w:bCs/>
          <w:sz w:val="36"/>
          <w:szCs w:val="36"/>
          <w:highlight w:val="none"/>
        </w:rPr>
      </w:pPr>
    </w:p>
    <w:p>
      <w:pPr>
        <w:pStyle w:val="2"/>
        <w:rPr>
          <w:rFonts w:hint="eastAsia"/>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ascii="宋体" w:hAnsi="宋体"/>
          <w:b/>
          <w:bCs/>
          <w:sz w:val="36"/>
          <w:szCs w:val="36"/>
          <w:highlight w:val="none"/>
        </w:rPr>
      </w:pPr>
    </w:p>
    <w:p>
      <w:pPr>
        <w:ind w:firstLine="1807" w:firstLineChars="500"/>
        <w:jc w:val="both"/>
        <w:rPr>
          <w:rFonts w:hint="eastAsia"/>
          <w:b/>
          <w:bCs/>
          <w:sz w:val="36"/>
          <w:szCs w:val="36"/>
          <w:highlight w:val="none"/>
        </w:rPr>
      </w:pPr>
      <w:r>
        <w:rPr>
          <w:rFonts w:hint="eastAsia" w:ascii="宋体" w:hAnsi="宋体"/>
          <w:b/>
          <w:bCs/>
          <w:sz w:val="36"/>
          <w:szCs w:val="36"/>
          <w:highlight w:val="none"/>
        </w:rPr>
        <w:t>参加开标会议授权委托书</w:t>
      </w:r>
    </w:p>
    <w:p>
      <w:pPr>
        <w:rPr>
          <w:rFonts w:hint="eastAsia"/>
          <w:sz w:val="21"/>
          <w:szCs w:val="21"/>
          <w:highlight w:val="none"/>
        </w:rPr>
      </w:pPr>
      <w:r>
        <w:rPr>
          <w:rFonts w:hint="eastAsia"/>
          <w:sz w:val="21"/>
          <w:szCs w:val="21"/>
          <w:highlight w:val="none"/>
        </w:rPr>
        <w:t xml:space="preserve"> </w:t>
      </w:r>
    </w:p>
    <w:p>
      <w:pPr>
        <w:spacing w:line="480" w:lineRule="auto"/>
        <w:ind w:firstLine="480" w:firstLineChars="200"/>
        <w:rPr>
          <w:rFonts w:hint="eastAsia"/>
          <w:sz w:val="24"/>
          <w:szCs w:val="24"/>
          <w:highlight w:val="none"/>
        </w:rPr>
      </w:pPr>
      <w:r>
        <w:rPr>
          <w:rFonts w:hint="eastAsia" w:ascii="宋体" w:hAnsi="宋体"/>
          <w:sz w:val="24"/>
          <w:szCs w:val="24"/>
          <w:highlight w:val="none"/>
        </w:rPr>
        <w:t>本授权委托书声明：我</w:t>
      </w:r>
      <w:r>
        <w:rPr>
          <w:rFonts w:hint="eastAsia"/>
          <w:sz w:val="24"/>
          <w:szCs w:val="24"/>
          <w:highlight w:val="none"/>
          <w:u w:val="single"/>
        </w:rPr>
        <w:t xml:space="preserve">           </w:t>
      </w:r>
      <w:r>
        <w:rPr>
          <w:rFonts w:hint="eastAsia" w:ascii="宋体" w:hAnsi="宋体"/>
          <w:sz w:val="24"/>
          <w:szCs w:val="24"/>
          <w:highlight w:val="none"/>
        </w:rPr>
        <w:t>（</w:t>
      </w:r>
      <w:r>
        <w:rPr>
          <w:rFonts w:hint="eastAsia" w:ascii="宋体" w:hAnsi="宋体"/>
          <w:b/>
          <w:bCs/>
          <w:sz w:val="24"/>
          <w:szCs w:val="24"/>
          <w:highlight w:val="none"/>
        </w:rPr>
        <w:t>姓名</w:t>
      </w:r>
      <w:r>
        <w:rPr>
          <w:rFonts w:hint="eastAsia" w:ascii="宋体" w:hAnsi="宋体"/>
          <w:sz w:val="24"/>
          <w:szCs w:val="24"/>
          <w:highlight w:val="none"/>
        </w:rPr>
        <w:t>）系</w:t>
      </w:r>
      <w:r>
        <w:rPr>
          <w:rFonts w:hint="eastAsia"/>
          <w:sz w:val="24"/>
          <w:szCs w:val="24"/>
          <w:highlight w:val="none"/>
          <w:u w:val="single"/>
        </w:rPr>
        <w:t xml:space="preserve">                     </w:t>
      </w:r>
      <w:r>
        <w:rPr>
          <w:rFonts w:hint="eastAsia" w:ascii="宋体" w:hAnsi="宋体"/>
          <w:sz w:val="24"/>
          <w:szCs w:val="24"/>
          <w:highlight w:val="none"/>
        </w:rPr>
        <w:t>（</w:t>
      </w:r>
      <w:r>
        <w:rPr>
          <w:rFonts w:hint="eastAsia" w:ascii="宋体" w:hAnsi="宋体"/>
          <w:b/>
          <w:bCs/>
          <w:sz w:val="24"/>
          <w:szCs w:val="24"/>
          <w:highlight w:val="none"/>
        </w:rPr>
        <w:t>投标单位名称</w:t>
      </w:r>
      <w:r>
        <w:rPr>
          <w:rFonts w:hint="eastAsia" w:ascii="宋体" w:hAnsi="宋体"/>
          <w:sz w:val="24"/>
          <w:szCs w:val="24"/>
          <w:highlight w:val="none"/>
        </w:rPr>
        <w:t>）的法定代表人，本人因事不能亲自参加开标会议，现授权委托</w:t>
      </w:r>
      <w:r>
        <w:rPr>
          <w:rFonts w:hint="eastAsia"/>
          <w:sz w:val="24"/>
          <w:szCs w:val="24"/>
          <w:highlight w:val="none"/>
          <w:u w:val="single"/>
        </w:rPr>
        <w:t xml:space="preserve">              </w:t>
      </w:r>
      <w:r>
        <w:rPr>
          <w:rFonts w:hint="eastAsia" w:ascii="宋体" w:hAnsi="宋体"/>
          <w:sz w:val="24"/>
          <w:szCs w:val="24"/>
          <w:highlight w:val="none"/>
        </w:rPr>
        <w:t>（</w:t>
      </w:r>
      <w:r>
        <w:rPr>
          <w:rFonts w:hint="eastAsia" w:ascii="宋体" w:hAnsi="宋体"/>
          <w:b/>
          <w:bCs/>
          <w:sz w:val="24"/>
          <w:szCs w:val="24"/>
          <w:highlight w:val="none"/>
        </w:rPr>
        <w:t>单位名称</w:t>
      </w:r>
      <w:r>
        <w:rPr>
          <w:rFonts w:hint="eastAsia" w:ascii="宋体" w:hAnsi="宋体"/>
          <w:sz w:val="24"/>
          <w:szCs w:val="24"/>
          <w:highlight w:val="none"/>
        </w:rPr>
        <w:t>）的</w:t>
      </w:r>
      <w:r>
        <w:rPr>
          <w:rFonts w:hint="eastAsia"/>
          <w:sz w:val="24"/>
          <w:szCs w:val="24"/>
          <w:highlight w:val="none"/>
          <w:u w:val="single"/>
        </w:rPr>
        <w:t xml:space="preserve">           </w:t>
      </w:r>
      <w:r>
        <w:rPr>
          <w:rFonts w:hint="eastAsia" w:ascii="宋体" w:hAnsi="宋体"/>
          <w:sz w:val="24"/>
          <w:szCs w:val="24"/>
          <w:highlight w:val="none"/>
        </w:rPr>
        <w:t>（</w:t>
      </w:r>
      <w:r>
        <w:rPr>
          <w:rFonts w:hint="eastAsia" w:ascii="宋体" w:hAnsi="宋体"/>
          <w:b/>
          <w:bCs/>
          <w:sz w:val="24"/>
          <w:szCs w:val="24"/>
          <w:highlight w:val="none"/>
        </w:rPr>
        <w:t>姓名</w:t>
      </w:r>
      <w:r>
        <w:rPr>
          <w:rFonts w:hint="eastAsia" w:ascii="宋体" w:hAnsi="宋体"/>
          <w:sz w:val="24"/>
          <w:szCs w:val="24"/>
          <w:highlight w:val="none"/>
        </w:rPr>
        <w:t>）为我的授权委托代理人，参加</w:t>
      </w:r>
      <w:r>
        <w:rPr>
          <w:rFonts w:hint="eastAsia"/>
          <w:sz w:val="24"/>
          <w:szCs w:val="24"/>
          <w:highlight w:val="none"/>
          <w:u w:val="single"/>
        </w:rPr>
        <w:t xml:space="preserve">                </w:t>
      </w:r>
      <w:r>
        <w:rPr>
          <w:rFonts w:hint="eastAsia"/>
          <w:sz w:val="24"/>
          <w:szCs w:val="24"/>
          <w:highlight w:val="none"/>
        </w:rPr>
        <w:t>&lt;</w:t>
      </w:r>
      <w:r>
        <w:rPr>
          <w:rFonts w:hint="eastAsia" w:ascii="宋体" w:hAnsi="宋体"/>
          <w:sz w:val="24"/>
          <w:szCs w:val="24"/>
          <w:highlight w:val="none"/>
        </w:rPr>
        <w:t>建设单位（业主）</w:t>
      </w:r>
      <w:r>
        <w:rPr>
          <w:rFonts w:hint="eastAsia"/>
          <w:sz w:val="24"/>
          <w:szCs w:val="24"/>
          <w:highlight w:val="none"/>
        </w:rPr>
        <w:t>&gt;</w:t>
      </w:r>
      <w:r>
        <w:rPr>
          <w:rFonts w:hint="eastAsia" w:ascii="宋体" w:hAnsi="宋体"/>
          <w:sz w:val="24"/>
          <w:szCs w:val="24"/>
          <w:highlight w:val="none"/>
        </w:rPr>
        <w:t>的</w:t>
      </w:r>
      <w:r>
        <w:rPr>
          <w:rFonts w:hint="eastAsia"/>
          <w:sz w:val="24"/>
          <w:szCs w:val="24"/>
          <w:highlight w:val="none"/>
          <w:u w:val="single"/>
        </w:rPr>
        <w:t xml:space="preserve">                                      </w:t>
      </w:r>
      <w:r>
        <w:rPr>
          <w:rFonts w:hint="eastAsia" w:ascii="宋体" w:hAnsi="宋体"/>
          <w:sz w:val="24"/>
          <w:szCs w:val="24"/>
          <w:highlight w:val="none"/>
        </w:rPr>
        <w:t>的开标会议，代理人在本工程开标、评标期间所签署的一切文件和处理与之有关的一切事务，我均承认。</w:t>
      </w:r>
    </w:p>
    <w:p>
      <w:pPr>
        <w:spacing w:line="480" w:lineRule="auto"/>
        <w:ind w:firstLine="630"/>
        <w:rPr>
          <w:rFonts w:hint="eastAsia"/>
          <w:sz w:val="24"/>
          <w:szCs w:val="24"/>
          <w:highlight w:val="none"/>
        </w:rPr>
      </w:pPr>
      <w:r>
        <w:rPr>
          <w:rFonts w:hint="eastAsia" w:ascii="宋体" w:hAnsi="宋体"/>
          <w:sz w:val="24"/>
          <w:szCs w:val="24"/>
          <w:highlight w:val="none"/>
        </w:rPr>
        <w:t>代理人无转委权，特此委托。</w:t>
      </w:r>
    </w:p>
    <w:p>
      <w:pPr>
        <w:rPr>
          <w:rFonts w:hint="eastAsia"/>
          <w:sz w:val="24"/>
          <w:szCs w:val="24"/>
          <w:highlight w:val="none"/>
        </w:rPr>
      </w:pPr>
      <w:r>
        <w:rPr>
          <w:rFonts w:hint="eastAsia"/>
          <w:sz w:val="24"/>
          <w:szCs w:val="24"/>
          <w:highlight w:val="none"/>
        </w:rPr>
        <w:t xml:space="preserve"> </w:t>
      </w:r>
    </w:p>
    <w:p>
      <w:pPr>
        <w:rPr>
          <w:rFonts w:hint="eastAsia"/>
          <w:sz w:val="24"/>
          <w:szCs w:val="24"/>
          <w:highlight w:val="none"/>
          <w:u w:val="single"/>
        </w:rPr>
      </w:pPr>
      <w:r>
        <w:rPr>
          <w:rFonts w:hint="eastAsia" w:ascii="宋体" w:hAnsi="宋体"/>
          <w:sz w:val="24"/>
          <w:szCs w:val="24"/>
          <w:highlight w:val="none"/>
        </w:rPr>
        <w:t>代</w:t>
      </w:r>
      <w:r>
        <w:rPr>
          <w:rFonts w:hint="eastAsia"/>
          <w:sz w:val="24"/>
          <w:szCs w:val="24"/>
          <w:highlight w:val="none"/>
        </w:rPr>
        <w:t xml:space="preserve">  </w:t>
      </w:r>
      <w:r>
        <w:rPr>
          <w:rFonts w:hint="eastAsia" w:ascii="宋体" w:hAnsi="宋体"/>
          <w:sz w:val="24"/>
          <w:szCs w:val="24"/>
          <w:highlight w:val="none"/>
        </w:rPr>
        <w:t>理</w:t>
      </w:r>
      <w:r>
        <w:rPr>
          <w:rFonts w:hint="eastAsia"/>
          <w:sz w:val="24"/>
          <w:szCs w:val="24"/>
          <w:highlight w:val="none"/>
        </w:rPr>
        <w:t xml:space="preserve">  </w:t>
      </w:r>
      <w:r>
        <w:rPr>
          <w:rFonts w:hint="eastAsia" w:ascii="宋体" w:hAnsi="宋体"/>
          <w:sz w:val="24"/>
          <w:szCs w:val="24"/>
          <w:highlight w:val="none"/>
        </w:rPr>
        <w:t>人：</w:t>
      </w:r>
      <w:r>
        <w:rPr>
          <w:rFonts w:hint="eastAsia"/>
          <w:sz w:val="24"/>
          <w:szCs w:val="24"/>
          <w:highlight w:val="none"/>
          <w:u w:val="single"/>
        </w:rPr>
        <w:t xml:space="preserve">              </w:t>
      </w:r>
      <w:r>
        <w:rPr>
          <w:rFonts w:hint="eastAsia" w:ascii="宋体" w:hAnsi="宋体"/>
          <w:sz w:val="24"/>
          <w:szCs w:val="24"/>
          <w:highlight w:val="none"/>
        </w:rPr>
        <w:t>性别：</w:t>
      </w:r>
      <w:r>
        <w:rPr>
          <w:rFonts w:hint="eastAsia"/>
          <w:sz w:val="24"/>
          <w:szCs w:val="24"/>
          <w:highlight w:val="none"/>
          <w:u w:val="single"/>
        </w:rPr>
        <w:t xml:space="preserve">       </w:t>
      </w:r>
      <w:r>
        <w:rPr>
          <w:rFonts w:hint="eastAsia" w:ascii="宋体" w:hAnsi="宋体"/>
          <w:sz w:val="24"/>
          <w:szCs w:val="24"/>
          <w:highlight w:val="none"/>
        </w:rPr>
        <w:t>年龄：</w:t>
      </w:r>
      <w:r>
        <w:rPr>
          <w:rFonts w:hint="eastAsia"/>
          <w:sz w:val="24"/>
          <w:szCs w:val="24"/>
          <w:highlight w:val="none"/>
          <w:u w:val="single"/>
        </w:rPr>
        <w:t xml:space="preserve">       </w:t>
      </w:r>
    </w:p>
    <w:p>
      <w:pPr>
        <w:rPr>
          <w:rFonts w:hint="eastAsia"/>
          <w:sz w:val="18"/>
          <w:szCs w:val="20"/>
          <w:highlight w:val="none"/>
        </w:rPr>
      </w:pPr>
      <w:r>
        <w:rPr>
          <w:rFonts w:hint="eastAsia"/>
          <w:sz w:val="18"/>
          <w:szCs w:val="20"/>
          <w:highlight w:val="none"/>
        </w:rPr>
        <w:t xml:space="preserve"> </w:t>
      </w:r>
    </w:p>
    <w:p>
      <w:pPr>
        <w:rPr>
          <w:rFonts w:hint="eastAsia"/>
          <w:sz w:val="24"/>
          <w:szCs w:val="24"/>
          <w:highlight w:val="none"/>
          <w:u w:val="single"/>
        </w:rPr>
      </w:pPr>
      <w:r>
        <w:rPr>
          <w:rFonts w:hint="eastAsia" w:ascii="宋体" w:hAnsi="宋体"/>
          <w:sz w:val="24"/>
          <w:szCs w:val="24"/>
          <w:highlight w:val="none"/>
        </w:rPr>
        <w:t>身份证号码：</w:t>
      </w:r>
      <w:r>
        <w:rPr>
          <w:rFonts w:hint="eastAsia"/>
          <w:sz w:val="24"/>
          <w:szCs w:val="24"/>
          <w:highlight w:val="none"/>
          <w:u w:val="single"/>
        </w:rPr>
        <w:t xml:space="preserve">                       </w:t>
      </w:r>
      <w:r>
        <w:rPr>
          <w:rFonts w:hint="eastAsia" w:ascii="宋体" w:hAnsi="宋体"/>
          <w:sz w:val="24"/>
          <w:szCs w:val="24"/>
          <w:highlight w:val="none"/>
        </w:rPr>
        <w:t>职务：</w:t>
      </w:r>
      <w:r>
        <w:rPr>
          <w:rFonts w:hint="eastAsia"/>
          <w:sz w:val="24"/>
          <w:szCs w:val="24"/>
          <w:highlight w:val="none"/>
          <w:u w:val="single"/>
        </w:rPr>
        <w:t xml:space="preserve">           </w:t>
      </w:r>
    </w:p>
    <w:p>
      <w:pPr>
        <w:rPr>
          <w:rFonts w:hint="eastAsia"/>
          <w:sz w:val="18"/>
          <w:szCs w:val="20"/>
          <w:highlight w:val="none"/>
        </w:rPr>
      </w:pPr>
      <w:r>
        <w:rPr>
          <w:rFonts w:hint="eastAsia"/>
          <w:sz w:val="18"/>
          <w:szCs w:val="20"/>
          <w:highlight w:val="none"/>
        </w:rPr>
        <w:t xml:space="preserve"> </w:t>
      </w:r>
    </w:p>
    <w:p>
      <w:pPr>
        <w:rPr>
          <w:rFonts w:hint="eastAsia"/>
          <w:sz w:val="24"/>
          <w:szCs w:val="24"/>
          <w:highlight w:val="none"/>
        </w:rPr>
      </w:pPr>
      <w:r>
        <w:rPr>
          <w:rFonts w:hint="eastAsia" w:ascii="宋体" w:hAnsi="宋体"/>
          <w:sz w:val="24"/>
          <w:szCs w:val="24"/>
          <w:highlight w:val="none"/>
        </w:rPr>
        <w:t>投</w:t>
      </w:r>
      <w:r>
        <w:rPr>
          <w:rFonts w:hint="eastAsia"/>
          <w:sz w:val="24"/>
          <w:szCs w:val="24"/>
          <w:highlight w:val="none"/>
        </w:rPr>
        <w:t xml:space="preserve"> </w:t>
      </w:r>
      <w:r>
        <w:rPr>
          <w:rFonts w:hint="eastAsia" w:ascii="宋体" w:hAnsi="宋体"/>
          <w:sz w:val="24"/>
          <w:szCs w:val="24"/>
          <w:highlight w:val="none"/>
        </w:rPr>
        <w:t>标</w:t>
      </w:r>
      <w:r>
        <w:rPr>
          <w:rFonts w:hint="eastAsia"/>
          <w:sz w:val="24"/>
          <w:szCs w:val="24"/>
          <w:highlight w:val="none"/>
        </w:rPr>
        <w:t xml:space="preserve"> </w:t>
      </w:r>
      <w:r>
        <w:rPr>
          <w:rFonts w:hint="eastAsia" w:ascii="宋体" w:hAnsi="宋体"/>
          <w:sz w:val="24"/>
          <w:szCs w:val="24"/>
          <w:highlight w:val="none"/>
        </w:rPr>
        <w:t>单</w:t>
      </w:r>
      <w:r>
        <w:rPr>
          <w:rFonts w:hint="eastAsia"/>
          <w:sz w:val="24"/>
          <w:szCs w:val="24"/>
          <w:highlight w:val="none"/>
        </w:rPr>
        <w:t xml:space="preserve"> </w:t>
      </w:r>
      <w:r>
        <w:rPr>
          <w:rFonts w:hint="eastAsia" w:ascii="宋体" w:hAnsi="宋体"/>
          <w:sz w:val="24"/>
          <w:szCs w:val="24"/>
          <w:highlight w:val="none"/>
        </w:rPr>
        <w:t>位：</w:t>
      </w:r>
      <w:r>
        <w:rPr>
          <w:rFonts w:hint="eastAsia"/>
          <w:sz w:val="24"/>
          <w:szCs w:val="24"/>
          <w:highlight w:val="none"/>
          <w:u w:val="single"/>
        </w:rPr>
        <w:t xml:space="preserve">                                 </w:t>
      </w:r>
      <w:r>
        <w:rPr>
          <w:rFonts w:hint="eastAsia" w:ascii="宋体" w:hAnsi="宋体"/>
          <w:sz w:val="24"/>
          <w:szCs w:val="24"/>
          <w:highlight w:val="none"/>
        </w:rPr>
        <w:t>（印签）</w:t>
      </w:r>
    </w:p>
    <w:p>
      <w:pPr>
        <w:rPr>
          <w:rFonts w:hint="eastAsia"/>
          <w:sz w:val="18"/>
          <w:szCs w:val="20"/>
          <w:highlight w:val="none"/>
        </w:rPr>
      </w:pPr>
      <w:r>
        <w:rPr>
          <w:rFonts w:hint="eastAsia"/>
          <w:sz w:val="18"/>
          <w:szCs w:val="20"/>
          <w:highlight w:val="none"/>
        </w:rPr>
        <w:t xml:space="preserve"> </w:t>
      </w:r>
    </w:p>
    <w:p>
      <w:pPr>
        <w:rPr>
          <w:rFonts w:hint="eastAsia"/>
          <w:sz w:val="24"/>
          <w:szCs w:val="24"/>
          <w:highlight w:val="none"/>
        </w:rPr>
      </w:pPr>
      <w:r>
        <w:rPr>
          <w:rFonts w:hint="eastAsia" w:ascii="宋体" w:hAnsi="宋体"/>
          <w:sz w:val="24"/>
          <w:szCs w:val="24"/>
          <w:highlight w:val="none"/>
        </w:rPr>
        <w:t>法定代表人：</w:t>
      </w:r>
      <w:r>
        <w:rPr>
          <w:rFonts w:hint="eastAsia"/>
          <w:sz w:val="24"/>
          <w:szCs w:val="24"/>
          <w:highlight w:val="none"/>
          <w:u w:val="single"/>
        </w:rPr>
        <w:t xml:space="preserve">                                  </w:t>
      </w:r>
      <w:r>
        <w:rPr>
          <w:rFonts w:hint="eastAsia" w:ascii="宋体" w:hAnsi="宋体"/>
          <w:sz w:val="24"/>
          <w:szCs w:val="24"/>
          <w:highlight w:val="none"/>
        </w:rPr>
        <w:t>（签字）</w:t>
      </w:r>
    </w:p>
    <w:p>
      <w:pPr>
        <w:rPr>
          <w:rFonts w:hint="eastAsia"/>
          <w:sz w:val="18"/>
          <w:szCs w:val="20"/>
          <w:highlight w:val="none"/>
        </w:rPr>
      </w:pPr>
      <w:r>
        <w:rPr>
          <w:rFonts w:hint="eastAsia"/>
          <w:sz w:val="18"/>
          <w:szCs w:val="20"/>
          <w:highlight w:val="none"/>
        </w:rPr>
        <w:t xml:space="preserve"> </w:t>
      </w:r>
    </w:p>
    <w:p>
      <w:pPr>
        <w:rPr>
          <w:rFonts w:hint="eastAsia"/>
          <w:sz w:val="24"/>
          <w:szCs w:val="24"/>
          <w:highlight w:val="none"/>
        </w:rPr>
      </w:pPr>
      <w:r>
        <w:rPr>
          <w:rFonts w:hint="eastAsia" w:ascii="宋体" w:hAnsi="宋体"/>
          <w:sz w:val="24"/>
          <w:szCs w:val="24"/>
          <w:highlight w:val="none"/>
        </w:rPr>
        <w:t>授权委托日期：</w:t>
      </w:r>
      <w:r>
        <w:rPr>
          <w:rFonts w:hint="eastAsia"/>
          <w:sz w:val="24"/>
          <w:szCs w:val="24"/>
          <w:highlight w:val="none"/>
          <w:u w:val="single"/>
        </w:rPr>
        <w:t xml:space="preserve">          </w:t>
      </w:r>
      <w:r>
        <w:rPr>
          <w:rFonts w:hint="eastAsia" w:ascii="宋体" w:hAnsi="宋体"/>
          <w:sz w:val="24"/>
          <w:szCs w:val="24"/>
          <w:highlight w:val="none"/>
        </w:rPr>
        <w:t>年</w:t>
      </w:r>
      <w:r>
        <w:rPr>
          <w:rFonts w:hint="eastAsia"/>
          <w:sz w:val="24"/>
          <w:szCs w:val="24"/>
          <w:highlight w:val="none"/>
          <w:u w:val="single"/>
        </w:rPr>
        <w:t xml:space="preserve">       </w:t>
      </w:r>
      <w:r>
        <w:rPr>
          <w:rFonts w:hint="eastAsia" w:ascii="宋体" w:hAnsi="宋体"/>
          <w:sz w:val="24"/>
          <w:szCs w:val="24"/>
          <w:highlight w:val="none"/>
        </w:rPr>
        <w:t>月</w:t>
      </w:r>
      <w:r>
        <w:rPr>
          <w:rFonts w:hint="eastAsia"/>
          <w:sz w:val="24"/>
          <w:szCs w:val="24"/>
          <w:highlight w:val="none"/>
          <w:u w:val="single"/>
        </w:rPr>
        <w:t xml:space="preserve">       </w:t>
      </w:r>
      <w:r>
        <w:rPr>
          <w:rFonts w:hint="eastAsia" w:ascii="宋体" w:hAnsi="宋体"/>
          <w:sz w:val="24"/>
          <w:szCs w:val="24"/>
          <w:highlight w:val="none"/>
        </w:rPr>
        <w:t>日</w:t>
      </w:r>
    </w:p>
    <w:p>
      <w:pPr>
        <w:spacing w:line="360" w:lineRule="auto"/>
        <w:jc w:val="both"/>
        <w:rPr>
          <w:rFonts w:hint="eastAsia" w:ascii="宋体" w:hAnsi="宋体"/>
          <w:sz w:val="24"/>
          <w:szCs w:val="24"/>
          <w:highlight w:val="none"/>
        </w:rPr>
      </w:pPr>
    </w:p>
    <w:p>
      <w:pPr>
        <w:spacing w:line="360" w:lineRule="auto"/>
        <w:ind w:right="480"/>
        <w:jc w:val="center"/>
        <w:rPr>
          <w:rFonts w:hint="eastAsia" w:ascii="宋体" w:hAnsi="宋体"/>
          <w:b/>
          <w:bCs/>
          <w:sz w:val="44"/>
          <w:szCs w:val="44"/>
          <w:highlight w:val="none"/>
          <w:lang w:val="en-US" w:eastAsia="zh-CN"/>
        </w:rPr>
      </w:pPr>
    </w:p>
    <w:p>
      <w:pPr>
        <w:spacing w:line="360" w:lineRule="auto"/>
        <w:ind w:right="480"/>
        <w:jc w:val="center"/>
        <w:rPr>
          <w:rFonts w:hint="eastAsia" w:ascii="宋体" w:hAnsi="宋体"/>
          <w:b/>
          <w:bCs/>
          <w:sz w:val="44"/>
          <w:szCs w:val="44"/>
          <w:highlight w:val="none"/>
          <w:lang w:val="en-US" w:eastAsia="zh-CN"/>
        </w:rPr>
      </w:pPr>
    </w:p>
    <w:p>
      <w:pPr>
        <w:spacing w:line="360" w:lineRule="auto"/>
        <w:ind w:right="480"/>
        <w:jc w:val="center"/>
        <w:rPr>
          <w:rFonts w:hint="eastAsia" w:ascii="宋体" w:hAnsi="宋体"/>
          <w:b/>
          <w:bCs/>
          <w:sz w:val="44"/>
          <w:szCs w:val="44"/>
          <w:highlight w:val="none"/>
          <w:lang w:val="en-US" w:eastAsia="zh-CN"/>
        </w:rPr>
      </w:pPr>
      <w:r>
        <w:rPr>
          <w:rFonts w:hint="eastAsia" w:ascii="宋体" w:hAnsi="宋体"/>
          <w:b/>
          <w:bCs/>
          <w:sz w:val="44"/>
          <w:szCs w:val="44"/>
          <w:highlight w:val="none"/>
          <w:lang w:val="en-US" w:eastAsia="zh-CN"/>
        </w:rPr>
        <w:t>报价清单</w:t>
      </w:r>
    </w:p>
    <w:tbl>
      <w:tblPr>
        <w:tblStyle w:val="16"/>
        <w:tblpPr w:leftFromText="180" w:rightFromText="180" w:vertAnchor="text" w:horzAnchor="page" w:tblpX="290" w:tblpY="1083"/>
        <w:tblOverlap w:val="never"/>
        <w:tblW w:w="11012" w:type="dxa"/>
        <w:tblInd w:w="0" w:type="dxa"/>
        <w:shd w:val="clear" w:color="auto" w:fill="auto"/>
        <w:tblLayout w:type="fixed"/>
        <w:tblCellMar>
          <w:top w:w="0" w:type="dxa"/>
          <w:left w:w="0" w:type="dxa"/>
          <w:bottom w:w="0" w:type="dxa"/>
          <w:right w:w="0" w:type="dxa"/>
        </w:tblCellMar>
      </w:tblPr>
      <w:tblGrid>
        <w:gridCol w:w="611"/>
        <w:gridCol w:w="2136"/>
        <w:gridCol w:w="705"/>
        <w:gridCol w:w="990"/>
        <w:gridCol w:w="1080"/>
        <w:gridCol w:w="1260"/>
        <w:gridCol w:w="1245"/>
        <w:gridCol w:w="2985"/>
      </w:tblGrid>
      <w:tr>
        <w:tblPrEx>
          <w:shd w:val="clear" w:color="auto" w:fill="auto"/>
          <w:tblCellMar>
            <w:top w:w="0" w:type="dxa"/>
            <w:left w:w="0" w:type="dxa"/>
            <w:bottom w:w="0" w:type="dxa"/>
            <w:right w:w="0" w:type="dxa"/>
          </w:tblCellMar>
        </w:tblPrEx>
        <w:trPr>
          <w:trHeight w:val="121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序号</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lang w:val="en-US" w:eastAsia="zh-CN"/>
              </w:rPr>
            </w:pPr>
            <w:r>
              <w:rPr>
                <w:rFonts w:hint="eastAsia" w:ascii="仿宋_GB2312" w:hAnsi="仿宋_GB2312" w:eastAsia="仿宋_GB2312" w:cs="仿宋_GB2312"/>
                <w:i w:val="0"/>
                <w:color w:val="000000"/>
                <w:sz w:val="22"/>
                <w:szCs w:val="22"/>
                <w:highlight w:val="none"/>
                <w:u w:val="none"/>
                <w:lang w:val="en-US" w:eastAsia="zh-CN"/>
              </w:rPr>
              <w:t>控制</w:t>
            </w:r>
            <w:r>
              <w:rPr>
                <w:rFonts w:hint="eastAsia" w:ascii="仿宋_GB2312" w:hAnsi="仿宋_GB2312" w:cs="仿宋_GB2312"/>
                <w:i w:val="0"/>
                <w:color w:val="000000"/>
                <w:sz w:val="22"/>
                <w:szCs w:val="22"/>
                <w:highlight w:val="none"/>
                <w:u w:val="none"/>
                <w:lang w:val="en-US" w:eastAsia="zh-CN"/>
              </w:rPr>
              <w:t>总</w:t>
            </w:r>
            <w:r>
              <w:rPr>
                <w:rFonts w:hint="eastAsia" w:ascii="仿宋_GB2312" w:hAnsi="仿宋_GB2312" w:eastAsia="仿宋_GB2312" w:cs="仿宋_GB2312"/>
                <w:i w:val="0"/>
                <w:color w:val="000000"/>
                <w:sz w:val="22"/>
                <w:szCs w:val="22"/>
                <w:highlight w:val="none"/>
                <w:u w:val="none"/>
                <w:lang w:val="en-US" w:eastAsia="zh-CN"/>
              </w:rPr>
              <w:t>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cs="仿宋_GB2312"/>
                <w:i w:val="0"/>
                <w:color w:val="000000"/>
                <w:sz w:val="22"/>
                <w:szCs w:val="22"/>
                <w:highlight w:val="none"/>
                <w:u w:val="none"/>
                <w:lang w:val="en-US" w:eastAsia="zh-CN"/>
              </w:rPr>
            </w:pPr>
            <w:r>
              <w:rPr>
                <w:rFonts w:hint="eastAsia" w:ascii="仿宋_GB2312" w:hAnsi="仿宋_GB2312" w:cs="仿宋_GB2312"/>
                <w:i w:val="0"/>
                <w:color w:val="000000"/>
                <w:sz w:val="22"/>
                <w:szCs w:val="22"/>
                <w:highlight w:val="none"/>
                <w:u w:val="none"/>
                <w:lang w:val="en-US" w:eastAsia="zh-CN"/>
              </w:rPr>
              <w:t>报价（单价）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lang w:eastAsia="zh-CN"/>
              </w:rPr>
            </w:pPr>
            <w:r>
              <w:rPr>
                <w:rFonts w:hint="eastAsia" w:ascii="仿宋_GB2312" w:hAnsi="仿宋_GB2312" w:cs="仿宋_GB2312"/>
                <w:i w:val="0"/>
                <w:color w:val="000000"/>
                <w:sz w:val="22"/>
                <w:szCs w:val="22"/>
                <w:highlight w:val="none"/>
                <w:u w:val="none"/>
                <w:lang w:val="en-US" w:eastAsia="zh-CN"/>
              </w:rPr>
              <w:t>总</w:t>
            </w:r>
            <w:r>
              <w:rPr>
                <w:rFonts w:hint="eastAsia" w:ascii="仿宋_GB2312" w:hAnsi="仿宋_GB2312" w:eastAsia="仿宋_GB2312" w:cs="仿宋_GB2312"/>
                <w:i w:val="0"/>
                <w:color w:val="000000"/>
                <w:sz w:val="22"/>
                <w:szCs w:val="22"/>
                <w:highlight w:val="none"/>
                <w:u w:val="none"/>
                <w:lang w:eastAsia="zh-CN"/>
              </w:rPr>
              <w:t>报价</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266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bidi="ar"/>
              </w:rPr>
              <w:t>马尼拉草块   （每片18cm*18cm，每捆11片）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bidi="ar"/>
              </w:rPr>
              <w:t>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bidi="ar"/>
              </w:rPr>
              <w:t>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lang w:val="en-US" w:eastAsia="zh-CN"/>
              </w:rPr>
            </w:pPr>
            <w:r>
              <w:rPr>
                <w:rFonts w:hint="eastAsia" w:ascii="仿宋_GB2312" w:hAnsi="仿宋_GB2312" w:eastAsia="仿宋_GB2312" w:cs="仿宋_GB2312"/>
                <w:i w:val="0"/>
                <w:color w:val="000000"/>
                <w:sz w:val="22"/>
                <w:szCs w:val="22"/>
                <w:highlight w:val="none"/>
                <w:u w:val="none"/>
                <w:lang w:val="en-US" w:eastAsia="zh-CN"/>
              </w:rPr>
              <w:t>12.</w:t>
            </w:r>
            <w:r>
              <w:rPr>
                <w:rFonts w:hint="eastAsia" w:ascii="仿宋_GB2312" w:hAnsi="仿宋_GB2312" w:cs="仿宋_GB2312"/>
                <w:i w:val="0"/>
                <w:color w:val="000000"/>
                <w:sz w:val="22"/>
                <w:szCs w:val="22"/>
                <w:highlight w:val="none"/>
                <w:u w:val="none"/>
                <w:lang w:val="en-US" w:eastAsia="zh-CN"/>
              </w:rPr>
              <w:t>98</w:t>
            </w:r>
            <w:r>
              <w:rPr>
                <w:rFonts w:hint="eastAsia" w:ascii="仿宋_GB2312" w:hAnsi="仿宋_GB2312" w:eastAsia="仿宋_GB2312" w:cs="仿宋_GB2312"/>
                <w:i w:val="0"/>
                <w:color w:val="000000"/>
                <w:sz w:val="22"/>
                <w:szCs w:val="22"/>
                <w:highlight w:val="none"/>
                <w:u w:val="none"/>
                <w:lang w:val="en-US" w:eastAsia="zh-CN"/>
              </w:rPr>
              <w:t>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1.</w:t>
            </w:r>
            <w:r>
              <w:rPr>
                <w:rFonts w:hint="eastAsia" w:ascii="仿宋_GB2312" w:hAnsi="仿宋_GB2312" w:eastAsia="仿宋_GB2312" w:cs="仿宋_GB2312"/>
                <w:i w:val="0"/>
                <w:color w:val="000000"/>
                <w:sz w:val="20"/>
                <w:szCs w:val="20"/>
                <w:highlight w:val="none"/>
                <w:u w:val="none"/>
                <w:lang w:eastAsia="zh-CN"/>
              </w:rPr>
              <w:t>供货日期：</w:t>
            </w:r>
            <w:r>
              <w:rPr>
                <w:rFonts w:hint="eastAsia" w:ascii="仿宋_GB2312" w:hAnsi="仿宋_GB2312" w:eastAsia="仿宋_GB2312" w:cs="仿宋_GB2312"/>
                <w:i w:val="0"/>
                <w:color w:val="000000"/>
                <w:sz w:val="20"/>
                <w:szCs w:val="20"/>
                <w:highlight w:val="none"/>
                <w:u w:val="none"/>
                <w:lang w:val="en-US" w:eastAsia="zh-CN"/>
              </w:rPr>
              <w:t>11月中</w:t>
            </w:r>
            <w:bookmarkStart w:id="0" w:name="_GoBack"/>
            <w:bookmarkEnd w:id="0"/>
            <w:r>
              <w:rPr>
                <w:rFonts w:hint="eastAsia" w:ascii="仿宋_GB2312" w:hAnsi="仿宋_GB2312" w:eastAsia="仿宋_GB2312" w:cs="仿宋_GB2312"/>
                <w:i w:val="0"/>
                <w:color w:val="000000"/>
                <w:sz w:val="20"/>
                <w:szCs w:val="20"/>
                <w:highlight w:val="none"/>
                <w:u w:val="none"/>
                <w:lang w:val="en-US" w:eastAsia="zh-CN"/>
              </w:rPr>
              <w:t>下旬完成</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2.结算数量以现场验收数量为准，据实结算。</w:t>
            </w:r>
          </w:p>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sz w:val="20"/>
                <w:szCs w:val="20"/>
                <w:highlight w:val="none"/>
                <w:u w:val="none"/>
                <w:lang w:val="en-US" w:eastAsia="zh-CN"/>
              </w:rPr>
              <w:t>3.草块须无杂草、无病虫害，较为干净整齐、草皮带土厚度&gt;1cm</w:t>
            </w:r>
          </w:p>
        </w:tc>
      </w:tr>
    </w:tbl>
    <w:p>
      <w:pPr>
        <w:spacing w:line="360" w:lineRule="auto"/>
        <w:ind w:right="480"/>
        <w:jc w:val="left"/>
        <w:rPr>
          <w:rFonts w:hint="eastAsia" w:ascii="宋体" w:hAnsi="宋体"/>
          <w:sz w:val="24"/>
          <w:szCs w:val="24"/>
          <w:highlight w:val="none"/>
        </w:rPr>
      </w:pPr>
    </w:p>
    <w:p>
      <w:pPr>
        <w:spacing w:line="360" w:lineRule="auto"/>
        <w:ind w:right="480"/>
        <w:jc w:val="left"/>
        <w:rPr>
          <w:rFonts w:hint="eastAsia" w:ascii="宋体" w:hAnsi="宋体"/>
          <w:sz w:val="24"/>
          <w:szCs w:val="24"/>
          <w:highlight w:val="none"/>
        </w:rPr>
      </w:pPr>
    </w:p>
    <w:p>
      <w:pPr>
        <w:pStyle w:val="24"/>
        <w:numPr>
          <w:ilvl w:val="0"/>
          <w:numId w:val="0"/>
        </w:numPr>
        <w:rPr>
          <w:rFonts w:hint="eastAsia" w:cstheme="minorBidi"/>
          <w:b w:val="0"/>
          <w:bCs w:val="0"/>
          <w:kern w:val="2"/>
          <w:sz w:val="28"/>
          <w:szCs w:val="32"/>
          <w:lang w:val="en-US" w:eastAsia="zh-CN" w:bidi="ar-SA"/>
        </w:rPr>
      </w:pPr>
    </w:p>
    <w:p>
      <w:pPr>
        <w:pStyle w:val="24"/>
        <w:numPr>
          <w:ilvl w:val="0"/>
          <w:numId w:val="0"/>
        </w:numPr>
        <w:rPr>
          <w:rFonts w:hint="eastAsia" w:cstheme="minorBidi"/>
          <w:b w:val="0"/>
          <w:bCs w:val="0"/>
          <w:kern w:val="2"/>
          <w:sz w:val="28"/>
          <w:szCs w:val="32"/>
          <w:lang w:val="en-US" w:eastAsia="zh-CN" w:bidi="ar-SA"/>
        </w:rPr>
      </w:pPr>
    </w:p>
    <w:p>
      <w:pPr>
        <w:pStyle w:val="24"/>
        <w:numPr>
          <w:ilvl w:val="0"/>
          <w:numId w:val="0"/>
        </w:numPr>
        <w:rPr>
          <w:rFonts w:hint="eastAsia" w:cstheme="minorBidi"/>
          <w:b w:val="0"/>
          <w:bCs w:val="0"/>
          <w:kern w:val="2"/>
          <w:sz w:val="28"/>
          <w:szCs w:val="32"/>
          <w:lang w:val="en-US" w:eastAsia="zh-CN" w:bidi="ar-SA"/>
        </w:rPr>
      </w:pPr>
    </w:p>
    <w:p>
      <w:pPr>
        <w:pStyle w:val="24"/>
        <w:numPr>
          <w:ilvl w:val="0"/>
          <w:numId w:val="0"/>
        </w:numPr>
        <w:rPr>
          <w:rFonts w:hint="eastAsia" w:cstheme="minorBidi"/>
          <w:b w:val="0"/>
          <w:bCs w:val="0"/>
          <w:kern w:val="2"/>
          <w:sz w:val="28"/>
          <w:szCs w:val="32"/>
          <w:lang w:val="en-US" w:eastAsia="zh-CN" w:bidi="ar-SA"/>
        </w:rPr>
      </w:pPr>
    </w:p>
    <w:p>
      <w:pPr>
        <w:pStyle w:val="24"/>
        <w:numPr>
          <w:ilvl w:val="0"/>
          <w:numId w:val="0"/>
        </w:numPr>
        <w:rPr>
          <w:rFonts w:hint="eastAsia" w:cstheme="minorBidi"/>
          <w:b w:val="0"/>
          <w:bCs w:val="0"/>
          <w:kern w:val="2"/>
          <w:sz w:val="28"/>
          <w:szCs w:val="32"/>
          <w:lang w:val="en-US" w:eastAsia="zh-CN" w:bidi="ar-SA"/>
        </w:rPr>
      </w:pPr>
    </w:p>
    <w:p>
      <w:pPr>
        <w:pStyle w:val="24"/>
        <w:numPr>
          <w:ilvl w:val="0"/>
          <w:numId w:val="0"/>
        </w:numPr>
        <w:rPr>
          <w:rFonts w:hint="eastAsia" w:cstheme="minorBidi"/>
          <w:b w:val="0"/>
          <w:bCs w:val="0"/>
          <w:kern w:val="2"/>
          <w:sz w:val="28"/>
          <w:szCs w:val="32"/>
          <w:lang w:val="en-US" w:eastAsia="zh-CN" w:bidi="ar-SA"/>
        </w:rPr>
      </w:pPr>
    </w:p>
    <w:p>
      <w:pPr>
        <w:pStyle w:val="24"/>
        <w:numPr>
          <w:ilvl w:val="0"/>
          <w:numId w:val="0"/>
        </w:numPr>
        <w:rPr>
          <w:rFonts w:hint="eastAsia" w:cstheme="minorBidi"/>
          <w:b w:val="0"/>
          <w:bCs w:val="0"/>
          <w:kern w:val="2"/>
          <w:sz w:val="28"/>
          <w:szCs w:val="32"/>
          <w:lang w:val="en-US" w:eastAsia="zh-CN" w:bidi="ar-SA"/>
        </w:rPr>
      </w:pPr>
    </w:p>
    <w:p>
      <w:pPr>
        <w:pStyle w:val="24"/>
        <w:numPr>
          <w:ilvl w:val="0"/>
          <w:numId w:val="0"/>
        </w:numPr>
        <w:rPr>
          <w:rFonts w:hint="eastAsia" w:cstheme="minorBidi"/>
          <w:b w:val="0"/>
          <w:bCs w:val="0"/>
          <w:kern w:val="2"/>
          <w:sz w:val="28"/>
          <w:szCs w:val="32"/>
          <w:lang w:val="en-US" w:eastAsia="zh-CN" w:bidi="ar-SA"/>
        </w:rPr>
      </w:pPr>
    </w:p>
    <w:p>
      <w:pPr>
        <w:spacing w:line="360" w:lineRule="auto"/>
        <w:ind w:firstLine="360" w:firstLineChars="150"/>
        <w:rPr>
          <w:rFonts w:hint="eastAsia" w:ascii="仿宋" w:hAnsi="仿宋" w:eastAsia="仿宋" w:cs="仿宋"/>
          <w:sz w:val="24"/>
          <w:szCs w:val="24"/>
        </w:rPr>
      </w:pPr>
    </w:p>
    <w:p>
      <w:pPr>
        <w:pStyle w:val="6"/>
        <w:rPr>
          <w:rFonts w:hint="eastAsia" w:ascii="仿宋" w:hAnsi="仿宋" w:eastAsia="仿宋" w:cs="仿宋"/>
          <w:sz w:val="24"/>
          <w:szCs w:val="24"/>
        </w:rPr>
      </w:pPr>
    </w:p>
    <w:p>
      <w:pPr>
        <w:pStyle w:val="6"/>
        <w:rPr>
          <w:rFonts w:hint="eastAsia" w:ascii="仿宋" w:hAnsi="仿宋" w:eastAsia="仿宋" w:cs="仿宋"/>
          <w:sz w:val="24"/>
          <w:szCs w:val="24"/>
        </w:rPr>
      </w:pPr>
    </w:p>
    <w:p>
      <w:pPr>
        <w:pStyle w:val="6"/>
        <w:widowControl w:val="0"/>
        <w:numPr>
          <w:ilvl w:val="0"/>
          <w:numId w:val="0"/>
        </w:numPr>
        <w:ind w:leftChars="0"/>
        <w:jc w:val="both"/>
        <w:rPr>
          <w:rFonts w:hint="eastAsia" w:ascii="宋体" w:hAnsi="宋体" w:eastAsia="宋体" w:cs="宋体"/>
          <w:b/>
          <w:bCs/>
          <w:color w:val="000000" w:themeColor="text1"/>
          <w:sz w:val="24"/>
          <w:szCs w:val="24"/>
          <w:highlight w:val="none"/>
          <w14:textFill>
            <w14:solidFill>
              <w14:schemeClr w14:val="tx1"/>
            </w14:solidFill>
          </w14:textFill>
        </w:rPr>
      </w:pPr>
    </w:p>
    <w:sectPr>
      <w:footerReference r:id="rId3" w:type="default"/>
      <w:pgSz w:w="11906" w:h="16838"/>
      <w:pgMar w:top="873" w:right="1800" w:bottom="873" w:left="1800" w:header="851" w:footer="992" w:gutter="0"/>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docPartObj>
        <w:docPartGallery w:val="autotext"/>
      </w:docPartObj>
    </w:sdtPr>
    <w:sdtContent>
      <w:p>
        <w:pPr>
          <w:pStyle w:val="1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ind w:left="510" w:hanging="510"/>
      </w:pPr>
      <w:rPr>
        <w:rFonts w:hint="default" w:ascii="Times New Roman" w:hAnsi="Times New Roman"/>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B92AF7"/>
    <w:multiLevelType w:val="multilevel"/>
    <w:tmpl w:val="1FB92AF7"/>
    <w:lvl w:ilvl="0" w:tentative="0">
      <w:start w:val="1"/>
      <w:numFmt w:val="japaneseCounting"/>
      <w:lvlText w:val="%1、"/>
      <w:lvlJc w:val="left"/>
      <w:pPr>
        <w:tabs>
          <w:tab w:val="left" w:pos="420"/>
        </w:tabs>
        <w:ind w:left="420" w:hanging="420"/>
      </w:pPr>
      <w:rPr>
        <w:rFonts w:hint="eastAsia" w:ascii="仿宋" w:hAnsi="仿宋" w:eastAsia="仿宋" w:cs="仿宋"/>
        <w:sz w:val="28"/>
        <w:szCs w:val="28"/>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k5MGVkNGI2YjRjNDMzN2ExYTRmNmZiYjMwYWEifQ=="/>
  </w:docVars>
  <w:rsids>
    <w:rsidRoot w:val="26350CF1"/>
    <w:rsid w:val="01AA5217"/>
    <w:rsid w:val="038F2B60"/>
    <w:rsid w:val="05CF39CA"/>
    <w:rsid w:val="06272C74"/>
    <w:rsid w:val="0D352F99"/>
    <w:rsid w:val="0E9B2ECE"/>
    <w:rsid w:val="11D1339A"/>
    <w:rsid w:val="129D771A"/>
    <w:rsid w:val="182121B6"/>
    <w:rsid w:val="231F4D1C"/>
    <w:rsid w:val="26350CF1"/>
    <w:rsid w:val="26622CEC"/>
    <w:rsid w:val="2699783C"/>
    <w:rsid w:val="28770EAC"/>
    <w:rsid w:val="2B46436C"/>
    <w:rsid w:val="2D113AB0"/>
    <w:rsid w:val="2DD64101"/>
    <w:rsid w:val="34FC488F"/>
    <w:rsid w:val="425B0DFC"/>
    <w:rsid w:val="43136275"/>
    <w:rsid w:val="43496D97"/>
    <w:rsid w:val="52EB0A1A"/>
    <w:rsid w:val="54AE7F19"/>
    <w:rsid w:val="59983FA8"/>
    <w:rsid w:val="6AB63CC6"/>
    <w:rsid w:val="6F3C6D9C"/>
    <w:rsid w:val="7217639C"/>
    <w:rsid w:val="75F727F8"/>
    <w:rsid w:val="7BFD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cs="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ascii="Calibri" w:hAnsi="Calibri" w:cs="宋体"/>
      <w:sz w:val="30"/>
      <w:szCs w:val="30"/>
    </w:rPr>
  </w:style>
  <w:style w:type="paragraph" w:styleId="6">
    <w:name w:val="Document Map"/>
    <w:basedOn w:val="1"/>
    <w:qFormat/>
    <w:uiPriority w:val="99"/>
    <w:rPr>
      <w:rFonts w:ascii="宋体" w:hAnsi="Calibri" w:cs="宋体"/>
      <w:sz w:val="18"/>
      <w:szCs w:val="18"/>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qFormat/>
    <w:uiPriority w:val="99"/>
    <w:pPr>
      <w:spacing w:after="120"/>
    </w:pPr>
    <w:rPr>
      <w:rFonts w:ascii="Calibri" w:hAnsi="Calibri" w:cs="宋体"/>
    </w:rPr>
  </w:style>
  <w:style w:type="paragraph" w:styleId="9">
    <w:name w:val="Body Text Indent"/>
    <w:basedOn w:val="1"/>
    <w:next w:val="1"/>
    <w:qFormat/>
    <w:uiPriority w:val="99"/>
    <w:pPr>
      <w:spacing w:after="120"/>
      <w:ind w:left="420" w:leftChars="200"/>
    </w:pPr>
    <w:rPr>
      <w:rFonts w:ascii="Calibri" w:hAnsi="Calibri" w:cs="宋体"/>
    </w:rPr>
  </w:style>
  <w:style w:type="paragraph" w:styleId="10">
    <w:name w:val="Plain Text"/>
    <w:basedOn w:val="1"/>
    <w:qFormat/>
    <w:uiPriority w:val="0"/>
    <w:rPr>
      <w:rFonts w:ascii="宋体" w:hAnsi="Courier New"/>
    </w:rPr>
  </w:style>
  <w:style w:type="paragraph" w:styleId="11">
    <w:name w:val="Date"/>
    <w:basedOn w:val="1"/>
    <w:next w:val="1"/>
    <w:qFormat/>
    <w:uiPriority w:val="0"/>
    <w:pPr>
      <w:ind w:left="100" w:leftChars="2500"/>
    </w:pPr>
    <w:rPr>
      <w:rFonts w:ascii="隶书" w:eastAsia="隶书"/>
      <w:b/>
      <w:bCs/>
      <w:color w:val="000000"/>
      <w:sz w:val="36"/>
    </w:rPr>
  </w:style>
  <w:style w:type="paragraph" w:styleId="12">
    <w:name w:val="Body Text Indent 2"/>
    <w:basedOn w:val="1"/>
    <w:qFormat/>
    <w:uiPriority w:val="0"/>
    <w:pPr>
      <w:tabs>
        <w:tab w:val="left" w:pos="0"/>
        <w:tab w:val="left" w:pos="735"/>
      </w:tabs>
      <w:ind w:firstLine="523" w:firstLineChars="218"/>
    </w:pPr>
    <w:rPr>
      <w:rFonts w:ascii="宋体"/>
      <w:sz w:val="24"/>
      <w:szCs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9"/>
    <w:next w:val="1"/>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paragraph" w:customStyle="1" w:styleId="20">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1">
    <w:name w:val="样式 标题 4 + 段前: 5 磅 段后: 5 磅 行距: 单倍行距"/>
    <w:basedOn w:val="5"/>
    <w:qFormat/>
    <w:uiPriority w:val="0"/>
    <w:pPr>
      <w:spacing w:before="100" w:after="100" w:line="240" w:lineRule="auto"/>
    </w:pPr>
    <w:rPr>
      <w:rFonts w:ascii="Arial" w:hAnsi="Arial" w:eastAsia="黑体"/>
      <w:szCs w:val="20"/>
    </w:rPr>
  </w:style>
  <w:style w:type="paragraph" w:customStyle="1" w:styleId="22">
    <w:name w:val="样式 标题 2 + 宋体 五号 非加粗 黑色"/>
    <w:basedOn w:val="4"/>
    <w:qFormat/>
    <w:uiPriority w:val="0"/>
    <w:pPr>
      <w:spacing w:line="416" w:lineRule="atLeast"/>
      <w:ind w:left="709"/>
    </w:pPr>
    <w:rPr>
      <w:rFonts w:ascii="宋体" w:hAnsi="宋体" w:eastAsia="宋体"/>
      <w:b w:val="0"/>
      <w:bCs w:val="0"/>
      <w:color w:val="000000"/>
      <w:sz w:val="21"/>
    </w:rPr>
  </w:style>
  <w:style w:type="paragraph" w:customStyle="1" w:styleId="23">
    <w:name w:val="样式1"/>
    <w:basedOn w:val="1"/>
    <w:qFormat/>
    <w:uiPriority w:val="99"/>
    <w:pPr>
      <w:tabs>
        <w:tab w:val="left" w:pos="709"/>
        <w:tab w:val="left" w:pos="840"/>
      </w:tabs>
      <w:ind w:left="840" w:hanging="420"/>
    </w:pPr>
    <w:rPr>
      <w:rFonts w:ascii="宋体" w:hAnsi="宋体"/>
      <w:szCs w:val="20"/>
    </w:rPr>
  </w:style>
  <w:style w:type="paragraph" w:styleId="24">
    <w:name w:val="List Paragraph"/>
    <w:basedOn w:val="1"/>
    <w:qFormat/>
    <w:uiPriority w:val="34"/>
    <w:pPr>
      <w:ind w:firstLine="420" w:firstLineChars="200"/>
    </w:pPr>
    <w:rPr>
      <w:sz w:val="24"/>
    </w:rPr>
  </w:style>
  <w:style w:type="paragraph" w:customStyle="1" w:styleId="25">
    <w:name w:val="p0"/>
    <w:basedOn w:val="1"/>
    <w:qFormat/>
    <w:uiPriority w:val="0"/>
    <w:pPr>
      <w:widowControl/>
    </w:pPr>
    <w:rPr>
      <w:kern w:val="0"/>
      <w:szCs w:val="21"/>
    </w:rPr>
  </w:style>
  <w:style w:type="paragraph" w:customStyle="1" w:styleId="26">
    <w:name w:val="列出段落1"/>
    <w:basedOn w:val="1"/>
    <w:qFormat/>
    <w:uiPriority w:val="34"/>
    <w:pPr>
      <w:ind w:firstLine="420" w:firstLineChars="200"/>
    </w:pPr>
    <w:rPr>
      <w:rFonts w:hAnsi="Arial Unicode MS" w:eastAsia="Times New Roman" w:cs="Arial Unicode MS"/>
      <w:color w:val="000000"/>
      <w:szCs w:val="21"/>
      <w:u w:color="000000"/>
    </w:rPr>
  </w:style>
  <w:style w:type="character" w:customStyle="1" w:styleId="27">
    <w:name w:val="font101"/>
    <w:basedOn w:val="18"/>
    <w:qFormat/>
    <w:uiPriority w:val="0"/>
    <w:rPr>
      <w:rFonts w:hint="eastAsia" w:ascii="宋体" w:hAnsi="宋体" w:eastAsia="宋体" w:cs="宋体"/>
      <w:b/>
      <w:bCs/>
      <w:color w:val="000000"/>
      <w:sz w:val="20"/>
      <w:szCs w:val="20"/>
      <w:u w:val="none"/>
    </w:rPr>
  </w:style>
  <w:style w:type="paragraph" w:customStyle="1" w:styleId="28">
    <w:name w:val="表头文本"/>
    <w:basedOn w:val="1"/>
    <w:qFormat/>
    <w:uiPriority w:val="0"/>
    <w:pPr>
      <w:autoSpaceDE w:val="0"/>
      <w:autoSpaceDN w:val="0"/>
      <w:adjustRightInd w:val="0"/>
      <w:jc w:val="center"/>
    </w:pPr>
    <w:rPr>
      <w:b/>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3603</Words>
  <Characters>3838</Characters>
  <Lines>0</Lines>
  <Paragraphs>0</Paragraphs>
  <TotalTime>2</TotalTime>
  <ScaleCrop>false</ScaleCrop>
  <LinksUpToDate>false</LinksUpToDate>
  <CharactersWithSpaces>4197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2022-07-11T01:55:00Z</dcterms:created>
  <dc:creator>欧文の文</dc:creator>
  <cp:lastModifiedBy>欧文の文</cp:lastModifiedBy>
  <cp:lastPrinted>2022-10-24T01:55:00Z</cp:lastPrinted>
  <dcterms:modified xsi:type="dcterms:W3CDTF">2022-10-24T02:23:33Z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EAB26C7B8EE5471587ECBE839BB40BFA</vt:lpwstr>
  </property>
</Properties>
</file>